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0C1C7" w14:textId="7452BE5F" w:rsidR="00A72841" w:rsidRDefault="002F4146" w:rsidP="002F4146">
      <w:pPr>
        <w:jc w:val="center"/>
        <w:rPr>
          <w:rFonts w:ascii="Times New Roman" w:hAnsi="Times New Roman" w:cs="Times New Roman"/>
          <w:b/>
          <w:bCs/>
          <w:sz w:val="28"/>
          <w:szCs w:val="28"/>
        </w:rPr>
      </w:pPr>
      <w:r w:rsidRPr="002F4146">
        <w:rPr>
          <w:rFonts w:ascii="Times New Roman" w:hAnsi="Times New Roman" w:cs="Times New Roman"/>
          <w:b/>
          <w:bCs/>
          <w:sz w:val="28"/>
          <w:szCs w:val="28"/>
        </w:rPr>
        <w:t>«</w:t>
      </w:r>
      <w:r w:rsidRPr="00FA51D3">
        <w:rPr>
          <w:rFonts w:ascii="Times New Roman" w:hAnsi="Times New Roman" w:cs="Times New Roman"/>
          <w:b/>
          <w:bCs/>
          <w:sz w:val="28"/>
          <w:szCs w:val="28"/>
        </w:rPr>
        <w:t>Рынок ценных бумаг как элемент рыночной экономики</w:t>
      </w:r>
      <w:r w:rsidRPr="002F4146">
        <w:rPr>
          <w:rFonts w:ascii="Times New Roman" w:hAnsi="Times New Roman" w:cs="Times New Roman"/>
          <w:b/>
          <w:bCs/>
          <w:sz w:val="28"/>
          <w:szCs w:val="28"/>
        </w:rPr>
        <w:t>»</w:t>
      </w:r>
    </w:p>
    <w:p w14:paraId="673BFA4A" w14:textId="290C71A1" w:rsidR="002F4146" w:rsidRDefault="002F4146" w:rsidP="002F4146">
      <w:pPr>
        <w:rPr>
          <w:rFonts w:ascii="Times New Roman" w:hAnsi="Times New Roman" w:cs="Times New Roman"/>
          <w:sz w:val="28"/>
          <w:szCs w:val="28"/>
        </w:rPr>
      </w:pPr>
      <w:r w:rsidRPr="002F4146">
        <w:rPr>
          <w:rFonts w:ascii="Times New Roman" w:hAnsi="Times New Roman" w:cs="Times New Roman"/>
          <w:sz w:val="28"/>
          <w:szCs w:val="28"/>
        </w:rPr>
        <w:t>1. Возникновение и развитие биржевой торговли</w:t>
      </w:r>
    </w:p>
    <w:p w14:paraId="3E51475C" w14:textId="5D70096C" w:rsidR="002F4146" w:rsidRPr="002F4146" w:rsidRDefault="002F4146" w:rsidP="002F4146">
      <w:pPr>
        <w:rPr>
          <w:rFonts w:ascii="Times New Roman" w:hAnsi="Times New Roman" w:cs="Times New Roman"/>
          <w:sz w:val="28"/>
          <w:szCs w:val="28"/>
        </w:rPr>
      </w:pPr>
      <w:bookmarkStart w:id="0" w:name="_Hlk82085428"/>
      <w:r w:rsidRPr="002F4146">
        <w:rPr>
          <w:rFonts w:ascii="Times New Roman" w:hAnsi="Times New Roman" w:cs="Times New Roman"/>
          <w:sz w:val="28"/>
          <w:szCs w:val="28"/>
        </w:rPr>
        <w:t>2. Структура современного рынка ценных бумаг</w:t>
      </w:r>
    </w:p>
    <w:bookmarkEnd w:id="0"/>
    <w:p w14:paraId="4F2B60D9" w14:textId="2E266F91" w:rsidR="002F4146" w:rsidRPr="002F4146" w:rsidRDefault="002F4146" w:rsidP="002F4146">
      <w:pPr>
        <w:rPr>
          <w:rFonts w:ascii="Times New Roman" w:hAnsi="Times New Roman" w:cs="Times New Roman"/>
          <w:sz w:val="28"/>
          <w:szCs w:val="28"/>
        </w:rPr>
      </w:pPr>
      <w:r w:rsidRPr="002F4146">
        <w:rPr>
          <w:rFonts w:ascii="Times New Roman" w:hAnsi="Times New Roman" w:cs="Times New Roman"/>
          <w:sz w:val="28"/>
          <w:szCs w:val="28"/>
        </w:rPr>
        <w:t>3. Участники рынка ценных бумаг</w:t>
      </w:r>
    </w:p>
    <w:p w14:paraId="4E2F4929" w14:textId="05ABC5EC" w:rsidR="002F4146" w:rsidRDefault="002F4146" w:rsidP="002F4146">
      <w:pPr>
        <w:rPr>
          <w:rFonts w:ascii="Times New Roman" w:hAnsi="Times New Roman" w:cs="Times New Roman"/>
          <w:sz w:val="28"/>
          <w:szCs w:val="28"/>
        </w:rPr>
      </w:pPr>
    </w:p>
    <w:p w14:paraId="5DBBBF26" w14:textId="77777777" w:rsidR="002F4146" w:rsidRPr="00A72D00" w:rsidRDefault="002F4146" w:rsidP="002F4146">
      <w:pPr>
        <w:ind w:firstLine="851"/>
        <w:rPr>
          <w:rFonts w:ascii="Times New Roman" w:hAnsi="Times New Roman" w:cs="Times New Roman"/>
          <w:b/>
          <w:bCs/>
          <w:sz w:val="28"/>
          <w:szCs w:val="28"/>
        </w:rPr>
      </w:pPr>
      <w:r w:rsidRPr="00A72D00">
        <w:rPr>
          <w:rFonts w:ascii="Times New Roman" w:hAnsi="Times New Roman" w:cs="Times New Roman"/>
          <w:b/>
          <w:bCs/>
          <w:sz w:val="28"/>
          <w:szCs w:val="28"/>
        </w:rPr>
        <w:t>1. Возникновение и развитие биржевой торговли</w:t>
      </w:r>
    </w:p>
    <w:p w14:paraId="5810CB1F"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Современная биржевая торговля является результатом длительной эволюции различных форм оптовой торговли: ярмарки, биржи реального товара, фьючерсной биржи. Имея некоторые общие организационные черты, они постоянно изменялись, приспосабливаясь к потребностям развития как производства, так и торговли.</w:t>
      </w:r>
    </w:p>
    <w:p w14:paraId="174D369C"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В своем развитии товарная биржа прошла этапы от оптового рынка, где заключались сделки с наличным товаром, до современного фьючерсного и опционного рынков.</w:t>
      </w:r>
    </w:p>
    <w:p w14:paraId="0834CA0E"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Возникновение биржи в Европе как своеобразной формы организованного рынка относят к XVI-XVII вв., хотя еще в Древней Греции и Древнем Риме формализованная торговля началась с фиксирования времени и места торговли, с общих товарообменных операций и денежных систем, а также с заключения контрактов на поставку товаров в договорные сроки.</w:t>
      </w:r>
    </w:p>
    <w:p w14:paraId="6C382438"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По поводу возникновения самого термина «биржа» до настоящего времени не существует единодушного мнения. Одни связывают его с названием площади, где еще в Древней Греции проходили торговые собрания, другие считают, что так в Древнем Риме называли кожаный мешок, в котором хранились деньги и драгоценности. По третьей версии, идущей из итальянских источников, термин «биржа» связывается с именем знатного менялы и маклера Ван де </w:t>
      </w:r>
      <w:proofErr w:type="spellStart"/>
      <w:r w:rsidRPr="002F4146">
        <w:rPr>
          <w:rFonts w:ascii="Times New Roman" w:eastAsia="Calibri" w:hAnsi="Times New Roman" w:cs="Times New Roman"/>
          <w:color w:val="000000"/>
          <w:sz w:val="28"/>
          <w:szCs w:val="28"/>
        </w:rPr>
        <w:t>Бюра</w:t>
      </w:r>
      <w:proofErr w:type="spellEnd"/>
      <w:r w:rsidRPr="002F4146">
        <w:rPr>
          <w:rFonts w:ascii="Times New Roman" w:eastAsia="Calibri" w:hAnsi="Times New Roman" w:cs="Times New Roman"/>
          <w:color w:val="000000"/>
          <w:sz w:val="28"/>
          <w:szCs w:val="28"/>
        </w:rPr>
        <w:t>. Возле дома этого господина в бельгийском городе Брюгге проходили собрания купцов, которые заключали между собой сделки. Название «биржа» как место встречи торговцев прижилось и распространилось довольно быстро по всей континентальной Европе.</w:t>
      </w:r>
    </w:p>
    <w:p w14:paraId="40D26DD5"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lastRenderedPageBreak/>
        <w:t>Первоначальной формой биржевой торговли была не товарная, а валютно-вексельная биржа. Объектом сделок на ней служили деньги и векселя, которые в наибольшей степени удовлетворяли требованиям заменимости. Сделки с товарами проводились только на ярмарках, торговые ряды которых часто специализировались на определенных товарах. Специализация продавцов способствовала ускорению поиска покупателей. В связи с развитием транспортного сообщения и многократным увеличением объемов торговли ярмарки постепенно начали перерастать в товарные биржи, которые характеризовались моментальностью встречи спроса и предложения, сменяемостью ролей и резким ускорением процесса заключения сделок.</w:t>
      </w:r>
    </w:p>
    <w:p w14:paraId="63CC5706"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В начале XVII в. центр торговой и финансовой деятельности переместился в Амстердам. Именно здесь в 1608 г. была создана одна из знаменитых бирж мира, где сходились нити всех значительных деловых операций. Это была универсальная биржа, на которой торговали хлебом, солью, рыбой, пряностями, лесом, а также деньгами, облигациями и акциями. В этот период окончательно определилось понятие биржевой игры на повышение, когда покупались акции с целью сбыта их через некоторое время по более высокой цене, и на понижение, когда акции продавались в расчете на их будущую покупку по более низкой цене.</w:t>
      </w:r>
    </w:p>
    <w:p w14:paraId="3133686F"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К началу XVIII в. в связи с учреждением Компании Южных морей наступил расцвет Лондонской биржи, возникшей в 1570 г. Для Лондонской, как и вообще для английских бирж, характерны три особенности: во-первых, господствующий принцип самоуправления; во-вторых, условия допущения, основанные на представлении поручительства, крупных вступительных деньгах и ежегодных взносах, превращающих биржу в монополию высших финансовых сфер; в-третьих, разделение биржевой публики на два класса: маклеров (брокеров) и торговцев (дилеров).</w:t>
      </w:r>
    </w:p>
    <w:p w14:paraId="1C3A2957"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Среди известных бирж того времени следует отметить и фондовую биржу во Франкфурте-на-Майне, создание и расцвет которой связывают с </w:t>
      </w:r>
      <w:r w:rsidRPr="002F4146">
        <w:rPr>
          <w:rFonts w:ascii="Times New Roman" w:eastAsia="Calibri" w:hAnsi="Times New Roman" w:cs="Times New Roman"/>
          <w:color w:val="000000"/>
          <w:sz w:val="28"/>
          <w:szCs w:val="28"/>
        </w:rPr>
        <w:lastRenderedPageBreak/>
        <w:t>фамилией Ротшильдов. Операции ее долгое время имели руководящее значение для всей континентальной Европы.</w:t>
      </w:r>
    </w:p>
    <w:p w14:paraId="7E50BF3A"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Отличительными чертами биржи реального товара в своей высшей форме являлись: совершение сделок на основе описания качества в отсутствие самого товара; торговля массовыми, однородными, сравнимыми по качеству товарами, отдельные партии которых взаимозаменяемы; спекулятивность.</w:t>
      </w:r>
    </w:p>
    <w:p w14:paraId="7AC4FEFD"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Крупнейшие биржи реального товара того времени в Германии, Англии, Франции, Японии и Италии стали центрами международной торговли, а формирующиеся на них цены приобрели характер мировых.</w:t>
      </w:r>
    </w:p>
    <w:p w14:paraId="727737E7"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В настоящее время во всем мире преобладают фьючерсные биржи. Биржи реального товара сохранились лишь в некоторых развивающихся странах (Индия - по джутовым изделиям, Индонезия - по каучуку и кофе, Малайзия - по олову) и имеют незначительные обороты.</w:t>
      </w:r>
    </w:p>
    <w:p w14:paraId="62A88CD5" w14:textId="77777777" w:rsidR="002F4146" w:rsidRPr="002F4146" w:rsidRDefault="002F4146" w:rsidP="002F4146">
      <w:pPr>
        <w:spacing w:after="0" w:line="360" w:lineRule="auto"/>
        <w:ind w:firstLine="567"/>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Основными признаками фьючерсной торговли являются:</w:t>
      </w:r>
    </w:p>
    <w:p w14:paraId="772FA137" w14:textId="77777777" w:rsidR="002F4146" w:rsidRPr="002F4146" w:rsidRDefault="002F4146" w:rsidP="002F4146">
      <w:pPr>
        <w:numPr>
          <w:ilvl w:val="0"/>
          <w:numId w:val="1"/>
        </w:numPr>
        <w:spacing w:after="0" w:line="360" w:lineRule="auto"/>
        <w:ind w:left="0" w:firstLine="567"/>
        <w:contextualSpacing/>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 фиктивный характер сделок, когда обмен товарами практически отсутствует, а обязательства сторон по сделке прекращаются путем совершения обратной сделки; </w:t>
      </w:r>
    </w:p>
    <w:p w14:paraId="7948B303" w14:textId="77777777" w:rsidR="002F4146" w:rsidRPr="002F4146" w:rsidRDefault="002F4146" w:rsidP="002F4146">
      <w:pPr>
        <w:numPr>
          <w:ilvl w:val="0"/>
          <w:numId w:val="1"/>
        </w:numPr>
        <w:spacing w:after="0" w:line="360" w:lineRule="auto"/>
        <w:ind w:left="0" w:firstLine="567"/>
        <w:contextualSpacing/>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 строгая унификация потребительной стоимости биржевого товара, определенное количество которого представляет биржевой контракт, используемый в качестве носителя цены; </w:t>
      </w:r>
    </w:p>
    <w:p w14:paraId="750879FD" w14:textId="77777777" w:rsidR="002F4146" w:rsidRPr="002F4146" w:rsidRDefault="002F4146" w:rsidP="002F4146">
      <w:pPr>
        <w:numPr>
          <w:ilvl w:val="0"/>
          <w:numId w:val="1"/>
        </w:numPr>
        <w:spacing w:after="0" w:line="360" w:lineRule="auto"/>
        <w:ind w:left="0" w:firstLine="567"/>
        <w:contextualSpacing/>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 строгая регламентированность количества разрешенного к поставке товара, срока и места поставки; </w:t>
      </w:r>
    </w:p>
    <w:p w14:paraId="613CE182" w14:textId="77777777" w:rsidR="002F4146" w:rsidRPr="002F4146" w:rsidRDefault="002F4146" w:rsidP="002F4146">
      <w:pPr>
        <w:numPr>
          <w:ilvl w:val="0"/>
          <w:numId w:val="1"/>
        </w:numPr>
        <w:spacing w:after="0" w:line="360" w:lineRule="auto"/>
        <w:ind w:left="0" w:firstLine="567"/>
        <w:contextualSpacing/>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 косвенная связь с рынком реального товара преимущественно через биржевое страхование (хеджирование), а не через поставку товара; </w:t>
      </w:r>
    </w:p>
    <w:p w14:paraId="77A42924" w14:textId="77777777" w:rsidR="002F4146" w:rsidRPr="002F4146" w:rsidRDefault="002F4146" w:rsidP="002F4146">
      <w:pPr>
        <w:numPr>
          <w:ilvl w:val="0"/>
          <w:numId w:val="1"/>
        </w:numPr>
        <w:spacing w:after="0" w:line="360" w:lineRule="auto"/>
        <w:ind w:left="0" w:firstLine="567"/>
        <w:contextualSpacing/>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 обезличенность сделок и заменимость контрагентов по ним, так как сделки заключаются не между конкретным продавцом и покупателем, а между ними и расчетной палатой, являющейся гарантом выполнения обязательств.</w:t>
      </w:r>
    </w:p>
    <w:p w14:paraId="6FCB4003"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При этом сама биржа не выступает в качестве одной из сторон в контракте или на стороне одного из контрагентов.</w:t>
      </w:r>
    </w:p>
    <w:p w14:paraId="6363AFB2"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lastRenderedPageBreak/>
        <w:t>Фьючерсная биржевая торговля является одним из наиболее динамичных секторов мирового хозяйства. Так, за 1951-1983 гг. число биржевых товаров увеличилось с 49 до 54 наименований, а фьючерсных товарных рынков - с 142 до 148.</w:t>
      </w:r>
    </w:p>
    <w:p w14:paraId="02581C34"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В последние годы наблюдается тенденция к концентрации биржевой торговли на фьючерсных рынках и в отдельных странах. Около 98% международного биржевого оборота приходится на США, Великобританию и Японию.</w:t>
      </w:r>
    </w:p>
    <w:p w14:paraId="093EB6E2"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Крупнейшей товарной биржей мира является Чикагская торговая биржа, традиционно специализирующаяся на торговле зерновыми культурами. Одновременно она является и универсальной биржей, так как на ней ведется фьючерсная торговля разнородными товарами: пшеницей, кукурузой, овсом, соевыми бобами и продуктами их переработки (соевая мука и соевое масло), драгоценными металлами, а также финансовыми инструментами (долгосрочными ценными бумагами, банковскими депозитами, индексами курсов акций и муниципальными облигациями). В 1988 г. на бирже было продано 116 758 тыс. фьючерсных контрактов и заключено 26 280 тыс. опционных сделок (соответственно 47,5 и 53,5% объема операций на американских биржах).</w:t>
      </w:r>
    </w:p>
    <w:p w14:paraId="45FAB43A"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Активно действуют и другие биржи. Например, в Сингапуре совершаются фьючерсные сделки на каучук. В Бразилии, в Сан-Паулу, ведутся фьючерсные операции с кофе, скотом, соевым зерном, а также с золотом. На бирже в Рио-де-Жанейро осуществляются фьючерсные сделки с золотом.</w:t>
      </w:r>
    </w:p>
    <w:p w14:paraId="3DE0E16A"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Краткая информация о важнейших зарубежных фьючерсных биржах приведена в таблице 1.</w:t>
      </w:r>
    </w:p>
    <w:p w14:paraId="77346D94"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 xml:space="preserve">На торговлю биржевыми товарами и ценообразование оказывает влияние множество факторов. Прежде всего это экономическая конъюнктура, так как динамика биржевой торговли отражает движение воспроизводственного цикла. В условиях экономического спада обостряется </w:t>
      </w:r>
      <w:r w:rsidRPr="002F4146">
        <w:rPr>
          <w:rFonts w:ascii="Times New Roman" w:eastAsia="Calibri" w:hAnsi="Times New Roman" w:cs="Times New Roman"/>
          <w:color w:val="000000"/>
          <w:sz w:val="28"/>
          <w:szCs w:val="28"/>
        </w:rPr>
        <w:lastRenderedPageBreak/>
        <w:t>конкурентная борьба и вместе с тем активизируется внедрение новых товаров и методов торговли на биржах.</w:t>
      </w:r>
    </w:p>
    <w:p w14:paraId="315CD14F" w14:textId="77777777" w:rsidR="002F4146" w:rsidRPr="002F4146" w:rsidRDefault="002F4146" w:rsidP="002F4146">
      <w:pPr>
        <w:spacing w:after="0" w:line="360" w:lineRule="auto"/>
        <w:ind w:firstLine="851"/>
        <w:jc w:val="both"/>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На протяжении последних десятилетий громадному увеличению биржевого оборота способствовало внедрение ЭВМ в расчетные отделы и в сам процесс биржевой торговли. При этом удалось полностью решить проблемы автоматизации расчетов с клиентами, выписки всех необходимых документов, хранения информации, ускорения обработки документации, улучшения ее качества и т.д. Внедрение ЭВМ позволило сосредоточить в одном центре расчеты сразу для нескольких бирж не только одной страны, но и нескольких стран.</w:t>
      </w:r>
    </w:p>
    <w:p w14:paraId="50D697FE" w14:textId="77777777" w:rsidR="002F4146" w:rsidRPr="002F4146" w:rsidRDefault="002F4146" w:rsidP="002F4146">
      <w:pPr>
        <w:spacing w:after="0" w:line="360" w:lineRule="auto"/>
        <w:jc w:val="center"/>
        <w:rPr>
          <w:rFonts w:ascii="Times New Roman" w:eastAsia="Calibri" w:hAnsi="Times New Roman" w:cs="Times New Roman"/>
          <w:color w:val="000000"/>
          <w:sz w:val="28"/>
          <w:szCs w:val="28"/>
        </w:rPr>
      </w:pPr>
      <w:r w:rsidRPr="002F4146">
        <w:rPr>
          <w:rFonts w:ascii="Times New Roman" w:eastAsia="Calibri" w:hAnsi="Times New Roman" w:cs="Times New Roman"/>
          <w:color w:val="000000"/>
          <w:sz w:val="28"/>
          <w:szCs w:val="28"/>
        </w:rPr>
        <w:t>Таблица 1 - Важнейшие зарубежные биржи, торгующие реальными товарами и товарными фьючерсными контрактами, и опционами:</w:t>
      </w:r>
    </w:p>
    <w:tbl>
      <w:tblPr>
        <w:tblStyle w:val="a3"/>
        <w:tblW w:w="0" w:type="auto"/>
        <w:tblLook w:val="04A0" w:firstRow="1" w:lastRow="0" w:firstColumn="1" w:lastColumn="0" w:noHBand="0" w:noVBand="1"/>
      </w:tblPr>
      <w:tblGrid>
        <w:gridCol w:w="3256"/>
        <w:gridCol w:w="6089"/>
      </w:tblGrid>
      <w:tr w:rsidR="002F4146" w:rsidRPr="002F4146" w14:paraId="7220F04A" w14:textId="77777777" w:rsidTr="00AF40FC">
        <w:tc>
          <w:tcPr>
            <w:tcW w:w="3256" w:type="dxa"/>
            <w:shd w:val="clear" w:color="auto" w:fill="B4C6E7"/>
            <w:vAlign w:val="center"/>
          </w:tcPr>
          <w:p w14:paraId="5391D260" w14:textId="77777777" w:rsidR="002F4146" w:rsidRPr="002F4146" w:rsidRDefault="002F4146" w:rsidP="002F4146">
            <w:pPr>
              <w:jc w:val="center"/>
              <w:rPr>
                <w:rFonts w:ascii="Times New Roman" w:eastAsia="Calibri" w:hAnsi="Times New Roman" w:cs="Times New Roman"/>
                <w:b/>
                <w:color w:val="000000"/>
              </w:rPr>
            </w:pPr>
            <w:r w:rsidRPr="002F4146">
              <w:rPr>
                <w:rFonts w:ascii="Times New Roman" w:eastAsia="Calibri" w:hAnsi="Times New Roman" w:cs="Times New Roman"/>
                <w:b/>
                <w:color w:val="000000"/>
              </w:rPr>
              <w:t>Наименование</w:t>
            </w:r>
          </w:p>
        </w:tc>
        <w:tc>
          <w:tcPr>
            <w:tcW w:w="6089" w:type="dxa"/>
            <w:shd w:val="clear" w:color="auto" w:fill="B4C6E7"/>
            <w:vAlign w:val="center"/>
          </w:tcPr>
          <w:p w14:paraId="1C408452" w14:textId="77777777" w:rsidR="002F4146" w:rsidRPr="002F4146" w:rsidRDefault="002F4146" w:rsidP="002F4146">
            <w:pPr>
              <w:jc w:val="center"/>
              <w:rPr>
                <w:rFonts w:ascii="Times New Roman" w:eastAsia="Calibri" w:hAnsi="Times New Roman" w:cs="Times New Roman"/>
                <w:b/>
                <w:color w:val="000000"/>
              </w:rPr>
            </w:pPr>
            <w:r w:rsidRPr="002F4146">
              <w:rPr>
                <w:rFonts w:ascii="Times New Roman" w:eastAsia="Calibri" w:hAnsi="Times New Roman" w:cs="Times New Roman"/>
                <w:b/>
                <w:color w:val="000000"/>
              </w:rPr>
              <w:t>Товар</w:t>
            </w:r>
          </w:p>
        </w:tc>
      </w:tr>
      <w:tr w:rsidR="002F4146" w:rsidRPr="002F4146" w14:paraId="2D7DDF3D" w14:textId="77777777" w:rsidTr="00AF40FC">
        <w:tc>
          <w:tcPr>
            <w:tcW w:w="3256" w:type="dxa"/>
          </w:tcPr>
          <w:p w14:paraId="74AF310E"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Биржа Товары Чикагская торговая биржа (США)</w:t>
            </w:r>
          </w:p>
        </w:tc>
        <w:tc>
          <w:tcPr>
            <w:tcW w:w="6089" w:type="dxa"/>
            <w:vAlign w:val="center"/>
          </w:tcPr>
          <w:p w14:paraId="7FF9CEC2"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Кукуруза, овес, соевые бобы, соевое масло, соевая мука, пшеница, золото, серебро</w:t>
            </w:r>
          </w:p>
        </w:tc>
      </w:tr>
      <w:tr w:rsidR="002F4146" w:rsidRPr="002F4146" w14:paraId="558BA757" w14:textId="77777777" w:rsidTr="00AF40FC">
        <w:tc>
          <w:tcPr>
            <w:tcW w:w="3256" w:type="dxa"/>
          </w:tcPr>
          <w:p w14:paraId="50E9FD41"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Чикагская товарная биржа</w:t>
            </w:r>
          </w:p>
        </w:tc>
        <w:tc>
          <w:tcPr>
            <w:tcW w:w="6089" w:type="dxa"/>
            <w:vAlign w:val="center"/>
          </w:tcPr>
          <w:p w14:paraId="3BA57524"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Живой скот, свинина, бройлерные куры, пиломатериалы, солод</w:t>
            </w:r>
          </w:p>
        </w:tc>
      </w:tr>
      <w:tr w:rsidR="002F4146" w:rsidRPr="002F4146" w14:paraId="28C1D0AF" w14:textId="77777777" w:rsidTr="00AF40FC">
        <w:tc>
          <w:tcPr>
            <w:tcW w:w="3256" w:type="dxa"/>
          </w:tcPr>
          <w:p w14:paraId="699F9676"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Нью-Йоркская товарная биржа</w:t>
            </w:r>
          </w:p>
        </w:tc>
        <w:tc>
          <w:tcPr>
            <w:tcW w:w="6089" w:type="dxa"/>
            <w:vAlign w:val="center"/>
          </w:tcPr>
          <w:p w14:paraId="2A5C0F40"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Малосернистая сырая нефть, высокосернистая нефть, печное топливо, бензин, пропан, природный газ, платина, палладий</w:t>
            </w:r>
          </w:p>
        </w:tc>
      </w:tr>
      <w:tr w:rsidR="002F4146" w:rsidRPr="002F4146" w14:paraId="58E88388" w14:textId="77777777" w:rsidTr="00AF40FC">
        <w:tc>
          <w:tcPr>
            <w:tcW w:w="3256" w:type="dxa"/>
          </w:tcPr>
          <w:p w14:paraId="2E6F9986"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Биржа СОМЕХ (Нью-Йорк)</w:t>
            </w:r>
          </w:p>
        </w:tc>
        <w:tc>
          <w:tcPr>
            <w:tcW w:w="6089" w:type="dxa"/>
            <w:vAlign w:val="center"/>
          </w:tcPr>
          <w:p w14:paraId="0A617C41"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Медь, золото, серебро, платина, палладий</w:t>
            </w:r>
          </w:p>
        </w:tc>
      </w:tr>
      <w:tr w:rsidR="002F4146" w:rsidRPr="002F4146" w14:paraId="7E09968F" w14:textId="77777777" w:rsidTr="00AF40FC">
        <w:tc>
          <w:tcPr>
            <w:tcW w:w="3256" w:type="dxa"/>
          </w:tcPr>
          <w:p w14:paraId="6B0AE1E7"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Нью-Йоркская биржа кофе, сахара и какао</w:t>
            </w:r>
          </w:p>
        </w:tc>
        <w:tc>
          <w:tcPr>
            <w:tcW w:w="6089" w:type="dxa"/>
            <w:vAlign w:val="center"/>
          </w:tcPr>
          <w:p w14:paraId="1B895188"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Кофе «арабика», сахар-сырец, белый сахар, какао</w:t>
            </w:r>
          </w:p>
        </w:tc>
      </w:tr>
      <w:tr w:rsidR="002F4146" w:rsidRPr="002F4146" w14:paraId="6D678CB7" w14:textId="77777777" w:rsidTr="00AF40FC">
        <w:tc>
          <w:tcPr>
            <w:tcW w:w="3256" w:type="dxa"/>
          </w:tcPr>
          <w:p w14:paraId="50E1E914"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Нью-Йоркская биржа хлопка</w:t>
            </w:r>
          </w:p>
        </w:tc>
        <w:tc>
          <w:tcPr>
            <w:tcW w:w="6089" w:type="dxa"/>
            <w:vAlign w:val="center"/>
          </w:tcPr>
          <w:p w14:paraId="05B78B4C"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Хлопок, замороженный концентрат апельсинового сока</w:t>
            </w:r>
          </w:p>
        </w:tc>
      </w:tr>
      <w:tr w:rsidR="002F4146" w:rsidRPr="002F4146" w14:paraId="0656108F" w14:textId="77777777" w:rsidTr="00AF40FC">
        <w:tc>
          <w:tcPr>
            <w:tcW w:w="3256" w:type="dxa"/>
          </w:tcPr>
          <w:p w14:paraId="388E4BD5"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Среднеамериканская товарная биржа</w:t>
            </w:r>
          </w:p>
        </w:tc>
        <w:tc>
          <w:tcPr>
            <w:tcW w:w="6089" w:type="dxa"/>
            <w:vAlign w:val="center"/>
          </w:tcPr>
          <w:p w14:paraId="45FFEDE4"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Кукуруза, овес, соевые бобы, соевая мука, пшеница, рис, скот, золото, платина, серебро</w:t>
            </w:r>
          </w:p>
        </w:tc>
      </w:tr>
      <w:tr w:rsidR="002F4146" w:rsidRPr="002F4146" w14:paraId="73CF9474" w14:textId="77777777" w:rsidTr="00AF40FC">
        <w:tc>
          <w:tcPr>
            <w:tcW w:w="3256" w:type="dxa"/>
          </w:tcPr>
          <w:p w14:paraId="2EC5F16D"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 xml:space="preserve">Биржа Товары </w:t>
            </w:r>
            <w:proofErr w:type="spellStart"/>
            <w:r w:rsidRPr="002F4146">
              <w:rPr>
                <w:rFonts w:ascii="Times New Roman" w:eastAsia="Calibri" w:hAnsi="Times New Roman" w:cs="Times New Roman"/>
                <w:color w:val="000000"/>
              </w:rPr>
              <w:t>Виннипегская</w:t>
            </w:r>
            <w:proofErr w:type="spellEnd"/>
            <w:r w:rsidRPr="002F4146">
              <w:rPr>
                <w:rFonts w:ascii="Times New Roman" w:eastAsia="Calibri" w:hAnsi="Times New Roman" w:cs="Times New Roman"/>
                <w:color w:val="000000"/>
              </w:rPr>
              <w:t xml:space="preserve"> товарная биржа</w:t>
            </w:r>
          </w:p>
        </w:tc>
        <w:tc>
          <w:tcPr>
            <w:tcW w:w="6089" w:type="dxa"/>
            <w:vAlign w:val="center"/>
          </w:tcPr>
          <w:p w14:paraId="7ACBB444"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Льняное семя, ячмень, овес, пшеница, рожь</w:t>
            </w:r>
          </w:p>
        </w:tc>
      </w:tr>
      <w:tr w:rsidR="002F4146" w:rsidRPr="002F4146" w14:paraId="3B47CCC0" w14:textId="77777777" w:rsidTr="00AF40FC">
        <w:tc>
          <w:tcPr>
            <w:tcW w:w="3256" w:type="dxa"/>
          </w:tcPr>
          <w:p w14:paraId="7D7F1ACD"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Товарная и финансовая биржа в Сан-Паулу (Бразилия)</w:t>
            </w:r>
          </w:p>
        </w:tc>
        <w:tc>
          <w:tcPr>
            <w:tcW w:w="6089" w:type="dxa"/>
            <w:vAlign w:val="center"/>
          </w:tcPr>
          <w:p w14:paraId="103423A3"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Золото, живой скот, телятина, кофе «</w:t>
            </w:r>
            <w:proofErr w:type="spellStart"/>
            <w:r w:rsidRPr="002F4146">
              <w:rPr>
                <w:rFonts w:ascii="Times New Roman" w:eastAsia="Calibri" w:hAnsi="Times New Roman" w:cs="Times New Roman"/>
                <w:color w:val="000000"/>
              </w:rPr>
              <w:t>рабуста</w:t>
            </w:r>
            <w:proofErr w:type="spellEnd"/>
            <w:r w:rsidRPr="002F4146">
              <w:rPr>
                <w:rFonts w:ascii="Times New Roman" w:eastAsia="Calibri" w:hAnsi="Times New Roman" w:cs="Times New Roman"/>
                <w:color w:val="000000"/>
              </w:rPr>
              <w:t>» и «арабика», хлопок</w:t>
            </w:r>
          </w:p>
        </w:tc>
      </w:tr>
      <w:tr w:rsidR="002F4146" w:rsidRPr="002F4146" w14:paraId="5073FC74" w14:textId="77777777" w:rsidTr="00AF40FC">
        <w:tc>
          <w:tcPr>
            <w:tcW w:w="3256" w:type="dxa"/>
          </w:tcPr>
          <w:p w14:paraId="4C86C5DB"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Лондонская биржа металлов (Великобритания)</w:t>
            </w:r>
          </w:p>
        </w:tc>
        <w:tc>
          <w:tcPr>
            <w:tcW w:w="6089" w:type="dxa"/>
            <w:vAlign w:val="center"/>
          </w:tcPr>
          <w:p w14:paraId="69612FCF"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Алюминий, медь, никель, цинк, свинец, олово</w:t>
            </w:r>
          </w:p>
        </w:tc>
      </w:tr>
      <w:tr w:rsidR="002F4146" w:rsidRPr="002F4146" w14:paraId="3E3651FB" w14:textId="77777777" w:rsidTr="00AF40FC">
        <w:tc>
          <w:tcPr>
            <w:tcW w:w="3256" w:type="dxa"/>
          </w:tcPr>
          <w:p w14:paraId="0CA8C955"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Международная нефтяная биржа (Лондон)</w:t>
            </w:r>
          </w:p>
        </w:tc>
        <w:tc>
          <w:tcPr>
            <w:tcW w:w="6089" w:type="dxa"/>
            <w:vAlign w:val="center"/>
          </w:tcPr>
          <w:p w14:paraId="42407787"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Газойль, сырая нефть «</w:t>
            </w:r>
            <w:proofErr w:type="spellStart"/>
            <w:r w:rsidRPr="002F4146">
              <w:rPr>
                <w:rFonts w:ascii="Times New Roman" w:eastAsia="Calibri" w:hAnsi="Times New Roman" w:cs="Times New Roman"/>
                <w:color w:val="000000"/>
              </w:rPr>
              <w:t>брент</w:t>
            </w:r>
            <w:proofErr w:type="spellEnd"/>
            <w:r w:rsidRPr="002F4146">
              <w:rPr>
                <w:rFonts w:ascii="Times New Roman" w:eastAsia="Calibri" w:hAnsi="Times New Roman" w:cs="Times New Roman"/>
                <w:color w:val="000000"/>
              </w:rPr>
              <w:t>», высокосернистая нефть «</w:t>
            </w:r>
            <w:proofErr w:type="spellStart"/>
            <w:r w:rsidRPr="002F4146">
              <w:rPr>
                <w:rFonts w:ascii="Times New Roman" w:eastAsia="Calibri" w:hAnsi="Times New Roman" w:cs="Times New Roman"/>
                <w:color w:val="000000"/>
              </w:rPr>
              <w:t>дубаи</w:t>
            </w:r>
            <w:proofErr w:type="spellEnd"/>
            <w:r w:rsidRPr="002F4146">
              <w:rPr>
                <w:rFonts w:ascii="Times New Roman" w:eastAsia="Calibri" w:hAnsi="Times New Roman" w:cs="Times New Roman"/>
                <w:color w:val="000000"/>
              </w:rPr>
              <w:t>», неэтилированный бензин</w:t>
            </w:r>
          </w:p>
        </w:tc>
      </w:tr>
      <w:tr w:rsidR="002F4146" w:rsidRPr="002F4146" w14:paraId="474420B1" w14:textId="77777777" w:rsidTr="00AF40FC">
        <w:tc>
          <w:tcPr>
            <w:tcW w:w="3256" w:type="dxa"/>
          </w:tcPr>
          <w:p w14:paraId="44F3DF27"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Лондонская биржа FOX</w:t>
            </w:r>
          </w:p>
        </w:tc>
        <w:tc>
          <w:tcPr>
            <w:tcW w:w="6089" w:type="dxa"/>
            <w:vAlign w:val="center"/>
          </w:tcPr>
          <w:p w14:paraId="5AC4B442"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Кофе «</w:t>
            </w:r>
            <w:proofErr w:type="spellStart"/>
            <w:r w:rsidRPr="002F4146">
              <w:rPr>
                <w:rFonts w:ascii="Times New Roman" w:eastAsia="Calibri" w:hAnsi="Times New Roman" w:cs="Times New Roman"/>
                <w:color w:val="000000"/>
              </w:rPr>
              <w:t>рабуста</w:t>
            </w:r>
            <w:proofErr w:type="spellEnd"/>
            <w:r w:rsidRPr="002F4146">
              <w:rPr>
                <w:rFonts w:ascii="Times New Roman" w:eastAsia="Calibri" w:hAnsi="Times New Roman" w:cs="Times New Roman"/>
                <w:color w:val="000000"/>
              </w:rPr>
              <w:t>», какао, сахар-сырец, белый сахар, пшеница, ячмень, живые свиньи, картофель, соевая мука, баранина</w:t>
            </w:r>
          </w:p>
        </w:tc>
      </w:tr>
      <w:tr w:rsidR="002F4146" w:rsidRPr="002F4146" w14:paraId="6EB779A3" w14:textId="77777777" w:rsidTr="00AF40FC">
        <w:tc>
          <w:tcPr>
            <w:tcW w:w="3256" w:type="dxa"/>
          </w:tcPr>
          <w:p w14:paraId="1BA7028A"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MATIF (Париж)</w:t>
            </w:r>
          </w:p>
        </w:tc>
        <w:tc>
          <w:tcPr>
            <w:tcW w:w="6089" w:type="dxa"/>
            <w:vAlign w:val="center"/>
          </w:tcPr>
          <w:p w14:paraId="7119329C"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Белый сахар, картофель, кофе</w:t>
            </w:r>
          </w:p>
        </w:tc>
      </w:tr>
      <w:tr w:rsidR="002F4146" w:rsidRPr="002F4146" w14:paraId="529B2D19" w14:textId="77777777" w:rsidTr="00AF40FC">
        <w:tc>
          <w:tcPr>
            <w:tcW w:w="3256" w:type="dxa"/>
          </w:tcPr>
          <w:p w14:paraId="0FC262DF"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Токийская товарная биржа (Япония)</w:t>
            </w:r>
          </w:p>
        </w:tc>
        <w:tc>
          <w:tcPr>
            <w:tcW w:w="6089" w:type="dxa"/>
            <w:vAlign w:val="center"/>
          </w:tcPr>
          <w:p w14:paraId="2F57B3D8"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Хлопковая пряжа, шерстяная пряжа, золото, платина, палладий, серебро, каучук</w:t>
            </w:r>
          </w:p>
        </w:tc>
      </w:tr>
      <w:tr w:rsidR="002F4146" w:rsidRPr="002F4146" w14:paraId="7D580EDE" w14:textId="77777777" w:rsidTr="00AF40FC">
        <w:tc>
          <w:tcPr>
            <w:tcW w:w="3256" w:type="dxa"/>
          </w:tcPr>
          <w:p w14:paraId="261E0ACD"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Куала-</w:t>
            </w:r>
            <w:proofErr w:type="spellStart"/>
            <w:r w:rsidRPr="002F4146">
              <w:rPr>
                <w:rFonts w:ascii="Times New Roman" w:eastAsia="Calibri" w:hAnsi="Times New Roman" w:cs="Times New Roman"/>
                <w:color w:val="000000"/>
              </w:rPr>
              <w:t>Лумпурская</w:t>
            </w:r>
            <w:proofErr w:type="spellEnd"/>
            <w:r w:rsidRPr="002F4146">
              <w:rPr>
                <w:rFonts w:ascii="Times New Roman" w:eastAsia="Calibri" w:hAnsi="Times New Roman" w:cs="Times New Roman"/>
                <w:color w:val="000000"/>
              </w:rPr>
              <w:t xml:space="preserve"> товарная биржа (Малайзия)</w:t>
            </w:r>
          </w:p>
        </w:tc>
        <w:tc>
          <w:tcPr>
            <w:tcW w:w="6089" w:type="dxa"/>
            <w:vAlign w:val="center"/>
          </w:tcPr>
          <w:p w14:paraId="69911178"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 xml:space="preserve">Неочищенное пальмовое масло, какао, олово, пальмовый </w:t>
            </w:r>
            <w:proofErr w:type="spellStart"/>
            <w:r w:rsidRPr="002F4146">
              <w:rPr>
                <w:rFonts w:ascii="Times New Roman" w:eastAsia="Calibri" w:hAnsi="Times New Roman" w:cs="Times New Roman"/>
                <w:color w:val="000000"/>
              </w:rPr>
              <w:t>олейн</w:t>
            </w:r>
            <w:proofErr w:type="spellEnd"/>
          </w:p>
        </w:tc>
      </w:tr>
      <w:tr w:rsidR="002F4146" w:rsidRPr="002F4146" w14:paraId="63C5016D" w14:textId="77777777" w:rsidTr="00AF40FC">
        <w:tc>
          <w:tcPr>
            <w:tcW w:w="3256" w:type="dxa"/>
          </w:tcPr>
          <w:p w14:paraId="363F5887" w14:textId="77777777" w:rsidR="002F4146" w:rsidRPr="002F4146" w:rsidRDefault="002F4146" w:rsidP="002F4146">
            <w:pPr>
              <w:rPr>
                <w:rFonts w:ascii="Times New Roman" w:eastAsia="Calibri" w:hAnsi="Times New Roman" w:cs="Times New Roman"/>
                <w:color w:val="000000"/>
              </w:rPr>
            </w:pPr>
            <w:proofErr w:type="spellStart"/>
            <w:r w:rsidRPr="002F4146">
              <w:rPr>
                <w:rFonts w:ascii="Times New Roman" w:eastAsia="Calibri" w:hAnsi="Times New Roman" w:cs="Times New Roman"/>
                <w:color w:val="000000"/>
              </w:rPr>
              <w:t>Шэньчженьская</w:t>
            </w:r>
            <w:proofErr w:type="spellEnd"/>
            <w:r w:rsidRPr="002F4146">
              <w:rPr>
                <w:rFonts w:ascii="Times New Roman" w:eastAsia="Calibri" w:hAnsi="Times New Roman" w:cs="Times New Roman"/>
                <w:color w:val="000000"/>
              </w:rPr>
              <w:t xml:space="preserve"> биржа металлов (Китай)</w:t>
            </w:r>
          </w:p>
        </w:tc>
        <w:tc>
          <w:tcPr>
            <w:tcW w:w="6089" w:type="dxa"/>
            <w:vAlign w:val="center"/>
          </w:tcPr>
          <w:p w14:paraId="373412E1" w14:textId="77777777" w:rsidR="002F4146" w:rsidRPr="002F4146" w:rsidRDefault="002F4146" w:rsidP="002F4146">
            <w:pPr>
              <w:rPr>
                <w:rFonts w:ascii="Times New Roman" w:eastAsia="Calibri" w:hAnsi="Times New Roman" w:cs="Times New Roman"/>
                <w:color w:val="000000"/>
              </w:rPr>
            </w:pPr>
            <w:r w:rsidRPr="002F4146">
              <w:rPr>
                <w:rFonts w:ascii="Times New Roman" w:eastAsia="Calibri" w:hAnsi="Times New Roman" w:cs="Times New Roman"/>
                <w:color w:val="000000"/>
              </w:rPr>
              <w:t xml:space="preserve">Медь, олово, свинец, цинк, алюминий, никель, сурьма, магний.  </w:t>
            </w:r>
          </w:p>
        </w:tc>
      </w:tr>
    </w:tbl>
    <w:p w14:paraId="17D49B93" w14:textId="77777777" w:rsidR="002F4146" w:rsidRPr="002F4146" w:rsidRDefault="002F4146" w:rsidP="002F4146">
      <w:pPr>
        <w:spacing w:after="0" w:line="360" w:lineRule="auto"/>
        <w:ind w:firstLine="709"/>
        <w:contextualSpacing/>
        <w:jc w:val="both"/>
        <w:rPr>
          <w:rFonts w:ascii="Times New Roman" w:eastAsia="Calibri" w:hAnsi="Times New Roman" w:cs="Times New Roman"/>
          <w:color w:val="000000"/>
        </w:rPr>
      </w:pPr>
    </w:p>
    <w:p w14:paraId="52611C3C" w14:textId="1E42365E" w:rsidR="002F4146" w:rsidRDefault="002F4146" w:rsidP="002F4146">
      <w:pPr>
        <w:spacing w:after="0" w:line="360" w:lineRule="auto"/>
        <w:ind w:firstLine="709"/>
        <w:contextualSpacing/>
        <w:jc w:val="both"/>
        <w:rPr>
          <w:rFonts w:ascii="Times New Roman" w:eastAsia="Calibri" w:hAnsi="Times New Roman" w:cs="Times New Roman"/>
          <w:color w:val="000000"/>
          <w:sz w:val="28"/>
          <w:szCs w:val="28"/>
        </w:rPr>
      </w:pPr>
      <w:r w:rsidRPr="008F2A61">
        <w:rPr>
          <w:rFonts w:ascii="Times New Roman" w:eastAsia="Calibri" w:hAnsi="Times New Roman" w:cs="Times New Roman"/>
          <w:color w:val="000000"/>
          <w:sz w:val="28"/>
          <w:szCs w:val="28"/>
        </w:rPr>
        <w:lastRenderedPageBreak/>
        <w:t>Таким образом, рассмотренные факторы оказали решающее воздействие на расширение биржевого оборота, увеличение биржевых товаров и фьючерсных рынков, а также на превращение товарных бирж из рыночных институтов в финансовые, из рынков реального товара во фьючерсные.</w:t>
      </w:r>
    </w:p>
    <w:p w14:paraId="6D2C67B3" w14:textId="77777777" w:rsidR="008F2A61" w:rsidRPr="008F2A61" w:rsidRDefault="008F2A61" w:rsidP="002F4146">
      <w:pPr>
        <w:spacing w:after="0" w:line="360" w:lineRule="auto"/>
        <w:ind w:firstLine="709"/>
        <w:contextualSpacing/>
        <w:jc w:val="both"/>
        <w:rPr>
          <w:rFonts w:ascii="Times New Roman" w:eastAsia="Calibri" w:hAnsi="Times New Roman" w:cs="Times New Roman"/>
          <w:b/>
          <w:color w:val="000000"/>
          <w:sz w:val="28"/>
          <w:szCs w:val="28"/>
        </w:rPr>
      </w:pPr>
    </w:p>
    <w:p w14:paraId="302ED6B1" w14:textId="77777777" w:rsidR="002F4146" w:rsidRPr="002F4146" w:rsidRDefault="002F4146" w:rsidP="002F4146">
      <w:pPr>
        <w:jc w:val="center"/>
        <w:rPr>
          <w:rFonts w:ascii="Times New Roman" w:hAnsi="Times New Roman" w:cs="Times New Roman"/>
          <w:b/>
          <w:bCs/>
          <w:sz w:val="28"/>
          <w:szCs w:val="28"/>
        </w:rPr>
      </w:pPr>
      <w:r w:rsidRPr="002F4146">
        <w:rPr>
          <w:rFonts w:ascii="Times New Roman" w:hAnsi="Times New Roman" w:cs="Times New Roman"/>
          <w:b/>
          <w:bCs/>
          <w:sz w:val="28"/>
          <w:szCs w:val="28"/>
        </w:rPr>
        <w:t>2. Структура современного рынка ценных бумаг</w:t>
      </w:r>
    </w:p>
    <w:p w14:paraId="0FB543F8" w14:textId="77777777" w:rsidR="00992769" w:rsidRDefault="00992769" w:rsidP="002F4146">
      <w:pPr>
        <w:spacing w:after="0" w:line="360" w:lineRule="auto"/>
        <w:ind w:firstLine="709"/>
        <w:jc w:val="both"/>
        <w:rPr>
          <w:rFonts w:ascii="Times New Roman" w:hAnsi="Times New Roman" w:cs="Times New Roman"/>
          <w:sz w:val="28"/>
          <w:szCs w:val="28"/>
        </w:rPr>
      </w:pPr>
    </w:p>
    <w:p w14:paraId="07168C0E" w14:textId="31571EC1" w:rsidR="002F4146" w:rsidRDefault="002F4146"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Pr="002F4146">
        <w:rPr>
          <w:rFonts w:ascii="Times New Roman" w:hAnsi="Times New Roman" w:cs="Times New Roman"/>
          <w:sz w:val="28"/>
          <w:szCs w:val="28"/>
        </w:rPr>
        <w:t xml:space="preserve">ынок ценных бумаг </w:t>
      </w:r>
      <w:proofErr w:type="gramStart"/>
      <w:r>
        <w:rPr>
          <w:rFonts w:ascii="Times New Roman" w:hAnsi="Times New Roman" w:cs="Times New Roman"/>
          <w:sz w:val="28"/>
          <w:szCs w:val="28"/>
        </w:rPr>
        <w:t>-</w:t>
      </w:r>
      <w:r w:rsidRPr="002F4146">
        <w:rPr>
          <w:rFonts w:ascii="Times New Roman" w:hAnsi="Times New Roman" w:cs="Times New Roman"/>
          <w:sz w:val="28"/>
          <w:szCs w:val="28"/>
        </w:rPr>
        <w:t xml:space="preserve"> это</w:t>
      </w:r>
      <w:proofErr w:type="gramEnd"/>
      <w:r w:rsidRPr="002F4146">
        <w:rPr>
          <w:rFonts w:ascii="Times New Roman" w:hAnsi="Times New Roman" w:cs="Times New Roman"/>
          <w:sz w:val="28"/>
          <w:szCs w:val="28"/>
        </w:rPr>
        <w:t xml:space="preserve"> многосложная структура, кот</w:t>
      </w:r>
      <w:r>
        <w:rPr>
          <w:rFonts w:ascii="Times New Roman" w:hAnsi="Times New Roman" w:cs="Times New Roman"/>
          <w:sz w:val="28"/>
          <w:szCs w:val="28"/>
        </w:rPr>
        <w:t>о</w:t>
      </w:r>
      <w:r w:rsidRPr="002F4146">
        <w:rPr>
          <w:rFonts w:ascii="Times New Roman" w:hAnsi="Times New Roman" w:cs="Times New Roman"/>
          <w:sz w:val="28"/>
          <w:szCs w:val="28"/>
        </w:rPr>
        <w:t>рая имеет много различных</w:t>
      </w:r>
      <w:r>
        <w:rPr>
          <w:rFonts w:ascii="Times New Roman" w:hAnsi="Times New Roman" w:cs="Times New Roman"/>
          <w:sz w:val="28"/>
          <w:szCs w:val="28"/>
        </w:rPr>
        <w:t xml:space="preserve"> </w:t>
      </w:r>
      <w:r w:rsidRPr="002F4146">
        <w:rPr>
          <w:rFonts w:ascii="Times New Roman" w:hAnsi="Times New Roman" w:cs="Times New Roman"/>
          <w:sz w:val="28"/>
          <w:szCs w:val="28"/>
        </w:rPr>
        <w:t xml:space="preserve">характеристик. </w:t>
      </w:r>
      <w:proofErr w:type="spellStart"/>
      <w:r w:rsidRPr="002F4146">
        <w:rPr>
          <w:rFonts w:ascii="Times New Roman" w:hAnsi="Times New Roman" w:cs="Times New Roman"/>
          <w:sz w:val="28"/>
          <w:szCs w:val="28"/>
        </w:rPr>
        <w:t>рцб</w:t>
      </w:r>
      <w:proofErr w:type="spellEnd"/>
      <w:r w:rsidRPr="002F4146">
        <w:rPr>
          <w:rFonts w:ascii="Times New Roman" w:hAnsi="Times New Roman" w:cs="Times New Roman"/>
          <w:sz w:val="28"/>
          <w:szCs w:val="28"/>
        </w:rPr>
        <w:t xml:space="preserve"> может быть классифицирован по большому числу признаков, каждый из</w:t>
      </w:r>
      <w:r>
        <w:rPr>
          <w:rFonts w:ascii="Times New Roman" w:hAnsi="Times New Roman" w:cs="Times New Roman"/>
          <w:sz w:val="28"/>
          <w:szCs w:val="28"/>
        </w:rPr>
        <w:t xml:space="preserve"> </w:t>
      </w:r>
      <w:r w:rsidRPr="002F4146">
        <w:rPr>
          <w:rFonts w:ascii="Times New Roman" w:hAnsi="Times New Roman" w:cs="Times New Roman"/>
          <w:sz w:val="28"/>
          <w:szCs w:val="28"/>
        </w:rPr>
        <w:t>которых характеризует его с той или иной стороны, или с точки зрения разных отношений,</w:t>
      </w:r>
      <w:r>
        <w:rPr>
          <w:rFonts w:ascii="Times New Roman" w:hAnsi="Times New Roman" w:cs="Times New Roman"/>
          <w:sz w:val="28"/>
          <w:szCs w:val="28"/>
        </w:rPr>
        <w:t xml:space="preserve"> </w:t>
      </w:r>
      <w:r w:rsidRPr="002F4146">
        <w:rPr>
          <w:rFonts w:ascii="Times New Roman" w:hAnsi="Times New Roman" w:cs="Times New Roman"/>
          <w:sz w:val="28"/>
          <w:szCs w:val="28"/>
        </w:rPr>
        <w:t xml:space="preserve">имеющих на нем место. в таблице </w:t>
      </w:r>
      <w:r w:rsidR="00F02EF9">
        <w:rPr>
          <w:rFonts w:ascii="Times New Roman" w:hAnsi="Times New Roman" w:cs="Times New Roman"/>
          <w:sz w:val="28"/>
          <w:szCs w:val="28"/>
        </w:rPr>
        <w:t>2</w:t>
      </w:r>
      <w:r w:rsidRPr="002F4146">
        <w:rPr>
          <w:rFonts w:ascii="Times New Roman" w:hAnsi="Times New Roman" w:cs="Times New Roman"/>
          <w:sz w:val="28"/>
          <w:szCs w:val="28"/>
        </w:rPr>
        <w:t xml:space="preserve"> изображена краткая классификация рынка ценных бумаг.</w:t>
      </w:r>
    </w:p>
    <w:p w14:paraId="4144BCF6" w14:textId="1CF1E3C6" w:rsidR="002F4146" w:rsidRDefault="002F4146" w:rsidP="008A5CB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 xml:space="preserve">Таблица </w:t>
      </w:r>
      <w:r w:rsidR="00F02EF9">
        <w:rPr>
          <w:rFonts w:ascii="Times New Roman" w:hAnsi="Times New Roman" w:cs="Times New Roman"/>
          <w:sz w:val="28"/>
          <w:szCs w:val="28"/>
        </w:rPr>
        <w:t>2</w:t>
      </w:r>
      <w:r>
        <w:rPr>
          <w:rFonts w:ascii="Times New Roman" w:hAnsi="Times New Roman" w:cs="Times New Roman"/>
          <w:sz w:val="28"/>
          <w:szCs w:val="28"/>
        </w:rPr>
        <w:t xml:space="preserve"> – Характеристика рынка ценных бумаг</w:t>
      </w:r>
    </w:p>
    <w:tbl>
      <w:tblPr>
        <w:tblStyle w:val="a3"/>
        <w:tblW w:w="0" w:type="auto"/>
        <w:tblLook w:val="04A0" w:firstRow="1" w:lastRow="0" w:firstColumn="1" w:lastColumn="0" w:noHBand="0" w:noVBand="1"/>
      </w:tblPr>
      <w:tblGrid>
        <w:gridCol w:w="2972"/>
        <w:gridCol w:w="6373"/>
      </w:tblGrid>
      <w:tr w:rsidR="002F4146" w14:paraId="668D7009" w14:textId="77777777" w:rsidTr="008F2A61">
        <w:tc>
          <w:tcPr>
            <w:tcW w:w="2972" w:type="dxa"/>
          </w:tcPr>
          <w:p w14:paraId="66D908B7" w14:textId="0A10AFD6" w:rsidR="002F4146" w:rsidRPr="008F2A61" w:rsidRDefault="002F4146" w:rsidP="002F4146">
            <w:pPr>
              <w:spacing w:line="360" w:lineRule="auto"/>
              <w:jc w:val="center"/>
              <w:rPr>
                <w:rFonts w:ascii="Times New Roman" w:hAnsi="Times New Roman" w:cs="Times New Roman"/>
                <w:sz w:val="24"/>
                <w:szCs w:val="24"/>
              </w:rPr>
            </w:pPr>
            <w:r w:rsidRPr="008F2A61">
              <w:rPr>
                <w:rFonts w:ascii="Times New Roman" w:hAnsi="Times New Roman" w:cs="Times New Roman"/>
                <w:sz w:val="24"/>
                <w:szCs w:val="24"/>
              </w:rPr>
              <w:t>Признак</w:t>
            </w:r>
          </w:p>
        </w:tc>
        <w:tc>
          <w:tcPr>
            <w:tcW w:w="6373" w:type="dxa"/>
          </w:tcPr>
          <w:p w14:paraId="2F302F25" w14:textId="3A036A4D" w:rsidR="002F4146" w:rsidRPr="008F2A61" w:rsidRDefault="002F4146" w:rsidP="002F4146">
            <w:pPr>
              <w:spacing w:line="360" w:lineRule="auto"/>
              <w:jc w:val="center"/>
              <w:rPr>
                <w:rFonts w:ascii="Times New Roman" w:hAnsi="Times New Roman" w:cs="Times New Roman"/>
                <w:sz w:val="24"/>
                <w:szCs w:val="24"/>
              </w:rPr>
            </w:pPr>
            <w:r w:rsidRPr="008F2A61">
              <w:rPr>
                <w:rFonts w:ascii="Times New Roman" w:hAnsi="Times New Roman" w:cs="Times New Roman"/>
                <w:sz w:val="24"/>
                <w:szCs w:val="24"/>
              </w:rPr>
              <w:t>Виды</w:t>
            </w:r>
          </w:p>
        </w:tc>
      </w:tr>
      <w:tr w:rsidR="00992769" w14:paraId="75765EB3" w14:textId="77777777" w:rsidTr="008F2A61">
        <w:tc>
          <w:tcPr>
            <w:tcW w:w="2972" w:type="dxa"/>
            <w:vMerge w:val="restart"/>
          </w:tcPr>
          <w:p w14:paraId="5B10020D" w14:textId="35A65107"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Масштабы рынка</w:t>
            </w:r>
          </w:p>
        </w:tc>
        <w:tc>
          <w:tcPr>
            <w:tcW w:w="6373" w:type="dxa"/>
          </w:tcPr>
          <w:p w14:paraId="102BA56F" w14:textId="04B43E6B"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 xml:space="preserve">международный </w:t>
            </w:r>
          </w:p>
        </w:tc>
      </w:tr>
      <w:tr w:rsidR="00992769" w14:paraId="038EA87C" w14:textId="77777777" w:rsidTr="008F2A61">
        <w:tc>
          <w:tcPr>
            <w:tcW w:w="2972" w:type="dxa"/>
            <w:vMerge/>
          </w:tcPr>
          <w:p w14:paraId="3D43FC27"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742D2919" w14:textId="31D22C6B"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национальный</w:t>
            </w:r>
          </w:p>
        </w:tc>
      </w:tr>
      <w:tr w:rsidR="00992769" w14:paraId="1BDE9629" w14:textId="77777777" w:rsidTr="008F2A61">
        <w:tc>
          <w:tcPr>
            <w:tcW w:w="2972" w:type="dxa"/>
            <w:vMerge/>
          </w:tcPr>
          <w:p w14:paraId="591BEEE3"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1FA87008" w14:textId="59405815"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региональный</w:t>
            </w:r>
          </w:p>
        </w:tc>
      </w:tr>
      <w:tr w:rsidR="00992769" w14:paraId="47E3CAE8" w14:textId="77777777" w:rsidTr="008F2A61">
        <w:tc>
          <w:tcPr>
            <w:tcW w:w="2972" w:type="dxa"/>
            <w:vMerge/>
          </w:tcPr>
          <w:p w14:paraId="45335FA9"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5EE9BC25" w14:textId="44CB746E"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местный</w:t>
            </w:r>
          </w:p>
        </w:tc>
      </w:tr>
      <w:tr w:rsidR="00992769" w14:paraId="066B175B" w14:textId="77777777" w:rsidTr="008F2A61">
        <w:tc>
          <w:tcPr>
            <w:tcW w:w="2972" w:type="dxa"/>
            <w:vMerge w:val="restart"/>
          </w:tcPr>
          <w:p w14:paraId="08EBFC9A" w14:textId="2D6AA4AE"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Стадия кругооборота ЦБ</w:t>
            </w:r>
          </w:p>
        </w:tc>
        <w:tc>
          <w:tcPr>
            <w:tcW w:w="6373" w:type="dxa"/>
          </w:tcPr>
          <w:p w14:paraId="60465D03" w14:textId="3C63AF80"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 xml:space="preserve">первичный </w:t>
            </w:r>
          </w:p>
        </w:tc>
      </w:tr>
      <w:tr w:rsidR="00992769" w14:paraId="193A8D1B" w14:textId="77777777" w:rsidTr="008F2A61">
        <w:tc>
          <w:tcPr>
            <w:tcW w:w="2972" w:type="dxa"/>
            <w:vMerge/>
          </w:tcPr>
          <w:p w14:paraId="556BBAAD"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20E556AA" w14:textId="54A802B5"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вторичный</w:t>
            </w:r>
          </w:p>
        </w:tc>
      </w:tr>
      <w:tr w:rsidR="00992769" w14:paraId="7D49CF7E" w14:textId="77777777" w:rsidTr="008F2A61">
        <w:tc>
          <w:tcPr>
            <w:tcW w:w="2972" w:type="dxa"/>
            <w:vMerge w:val="restart"/>
          </w:tcPr>
          <w:p w14:paraId="7643F403" w14:textId="4E3309F8"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Место торговли</w:t>
            </w:r>
          </w:p>
        </w:tc>
        <w:tc>
          <w:tcPr>
            <w:tcW w:w="6373" w:type="dxa"/>
          </w:tcPr>
          <w:p w14:paraId="27F50191" w14:textId="062F5B8D"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 xml:space="preserve">биржевой </w:t>
            </w:r>
          </w:p>
        </w:tc>
      </w:tr>
      <w:tr w:rsidR="00992769" w14:paraId="73C3D71F" w14:textId="77777777" w:rsidTr="008F2A61">
        <w:tc>
          <w:tcPr>
            <w:tcW w:w="2972" w:type="dxa"/>
            <w:vMerge/>
          </w:tcPr>
          <w:p w14:paraId="13AA2158"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00CDD728" w14:textId="143F6FC4"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внебиржевой</w:t>
            </w:r>
          </w:p>
        </w:tc>
      </w:tr>
      <w:tr w:rsidR="00992769" w14:paraId="7E1B3848" w14:textId="77777777" w:rsidTr="008F2A61">
        <w:tc>
          <w:tcPr>
            <w:tcW w:w="2972" w:type="dxa"/>
            <w:vMerge w:val="restart"/>
          </w:tcPr>
          <w:p w14:paraId="4FCE937D" w14:textId="70EAA870"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Степень организованности</w:t>
            </w:r>
          </w:p>
        </w:tc>
        <w:tc>
          <w:tcPr>
            <w:tcW w:w="6373" w:type="dxa"/>
          </w:tcPr>
          <w:p w14:paraId="42FCFA4D" w14:textId="300E55B0"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организованный</w:t>
            </w:r>
          </w:p>
        </w:tc>
      </w:tr>
      <w:tr w:rsidR="00992769" w14:paraId="1608FF4D" w14:textId="77777777" w:rsidTr="008F2A61">
        <w:tc>
          <w:tcPr>
            <w:tcW w:w="2972" w:type="dxa"/>
            <w:vMerge/>
          </w:tcPr>
          <w:p w14:paraId="754B19F7"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5D3003A7" w14:textId="7B7F9E4B"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неорганизованный</w:t>
            </w:r>
          </w:p>
        </w:tc>
      </w:tr>
      <w:tr w:rsidR="00992769" w14:paraId="34DE364E" w14:textId="77777777" w:rsidTr="008F2A61">
        <w:tc>
          <w:tcPr>
            <w:tcW w:w="2972" w:type="dxa"/>
            <w:vMerge w:val="restart"/>
          </w:tcPr>
          <w:p w14:paraId="7236FA72" w14:textId="4946306C"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Срок сделок</w:t>
            </w:r>
          </w:p>
        </w:tc>
        <w:tc>
          <w:tcPr>
            <w:tcW w:w="6373" w:type="dxa"/>
          </w:tcPr>
          <w:p w14:paraId="4232E093" w14:textId="11F127FE"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кассовый (</w:t>
            </w:r>
            <w:proofErr w:type="spellStart"/>
            <w:r w:rsidRPr="008F2A61">
              <w:rPr>
                <w:rFonts w:ascii="Times New Roman" w:hAnsi="Times New Roman" w:cs="Times New Roman"/>
                <w:sz w:val="24"/>
                <w:szCs w:val="24"/>
              </w:rPr>
              <w:t>спотовый</w:t>
            </w:r>
            <w:proofErr w:type="spellEnd"/>
            <w:r w:rsidRPr="008F2A61">
              <w:rPr>
                <w:rFonts w:ascii="Times New Roman" w:hAnsi="Times New Roman" w:cs="Times New Roman"/>
                <w:sz w:val="24"/>
                <w:szCs w:val="24"/>
              </w:rPr>
              <w:t xml:space="preserve">) </w:t>
            </w:r>
          </w:p>
        </w:tc>
      </w:tr>
      <w:tr w:rsidR="00992769" w14:paraId="4E113435" w14:textId="77777777" w:rsidTr="008F2A61">
        <w:tc>
          <w:tcPr>
            <w:tcW w:w="2972" w:type="dxa"/>
            <w:vMerge/>
          </w:tcPr>
          <w:p w14:paraId="4BD60C14"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6D9A2884" w14:textId="2A4E1E67"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срочный</w:t>
            </w:r>
          </w:p>
        </w:tc>
      </w:tr>
      <w:tr w:rsidR="00992769" w14:paraId="60F61543" w14:textId="77777777" w:rsidTr="008F2A61">
        <w:tc>
          <w:tcPr>
            <w:tcW w:w="2972" w:type="dxa"/>
          </w:tcPr>
          <w:p w14:paraId="5F303107" w14:textId="6646D669"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Тип торговли</w:t>
            </w:r>
          </w:p>
        </w:tc>
        <w:tc>
          <w:tcPr>
            <w:tcW w:w="6373" w:type="dxa"/>
          </w:tcPr>
          <w:p w14:paraId="56D5BE65" w14:textId="7655043A"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традиционный компьютеризированный</w:t>
            </w:r>
          </w:p>
        </w:tc>
      </w:tr>
      <w:tr w:rsidR="00992769" w14:paraId="1B93DAF3" w14:textId="77777777" w:rsidTr="008F2A61">
        <w:tc>
          <w:tcPr>
            <w:tcW w:w="2972" w:type="dxa"/>
            <w:vMerge w:val="restart"/>
          </w:tcPr>
          <w:p w14:paraId="5B9A8CBF" w14:textId="766DDE4C"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Эмитент/ инвестор</w:t>
            </w:r>
          </w:p>
        </w:tc>
        <w:tc>
          <w:tcPr>
            <w:tcW w:w="6373" w:type="dxa"/>
          </w:tcPr>
          <w:p w14:paraId="53165A52" w14:textId="64C0B65A"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 xml:space="preserve">государственных ценных бумаг </w:t>
            </w:r>
          </w:p>
        </w:tc>
      </w:tr>
      <w:tr w:rsidR="00992769" w14:paraId="0868EED2" w14:textId="77777777" w:rsidTr="008F2A61">
        <w:tc>
          <w:tcPr>
            <w:tcW w:w="2972" w:type="dxa"/>
            <w:vMerge/>
          </w:tcPr>
          <w:p w14:paraId="6E91C7BE"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69A8B65D" w14:textId="60DADCEB"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муниципальных ценных бумаг</w:t>
            </w:r>
          </w:p>
        </w:tc>
      </w:tr>
      <w:tr w:rsidR="00992769" w14:paraId="1AACD531" w14:textId="77777777" w:rsidTr="008F2A61">
        <w:tc>
          <w:tcPr>
            <w:tcW w:w="2972" w:type="dxa"/>
            <w:vMerge/>
          </w:tcPr>
          <w:p w14:paraId="3C9EAA62" w14:textId="77777777" w:rsidR="00992769" w:rsidRPr="008F2A61" w:rsidRDefault="00992769" w:rsidP="002F4146">
            <w:pPr>
              <w:spacing w:line="360" w:lineRule="auto"/>
              <w:jc w:val="center"/>
              <w:rPr>
                <w:rFonts w:ascii="Times New Roman" w:hAnsi="Times New Roman" w:cs="Times New Roman"/>
                <w:sz w:val="24"/>
                <w:szCs w:val="24"/>
              </w:rPr>
            </w:pPr>
          </w:p>
        </w:tc>
        <w:tc>
          <w:tcPr>
            <w:tcW w:w="6373" w:type="dxa"/>
          </w:tcPr>
          <w:p w14:paraId="2DFB3F01" w14:textId="464B4C88" w:rsidR="00992769" w:rsidRPr="008F2A61" w:rsidRDefault="00992769" w:rsidP="00992769">
            <w:pPr>
              <w:spacing w:line="360" w:lineRule="auto"/>
              <w:rPr>
                <w:rFonts w:ascii="Times New Roman" w:hAnsi="Times New Roman" w:cs="Times New Roman"/>
                <w:sz w:val="24"/>
                <w:szCs w:val="24"/>
              </w:rPr>
            </w:pPr>
            <w:r w:rsidRPr="008F2A61">
              <w:rPr>
                <w:rFonts w:ascii="Times New Roman" w:hAnsi="Times New Roman" w:cs="Times New Roman"/>
                <w:sz w:val="24"/>
                <w:szCs w:val="24"/>
              </w:rPr>
              <w:t>корпоративных ценных бумаг</w:t>
            </w:r>
          </w:p>
        </w:tc>
      </w:tr>
    </w:tbl>
    <w:p w14:paraId="774C2FB0" w14:textId="77777777" w:rsidR="002F4146" w:rsidRDefault="002F4146" w:rsidP="002F4146">
      <w:pPr>
        <w:spacing w:after="0" w:line="360" w:lineRule="auto"/>
        <w:ind w:firstLine="709"/>
        <w:jc w:val="center"/>
        <w:rPr>
          <w:rFonts w:ascii="Times New Roman" w:hAnsi="Times New Roman" w:cs="Times New Roman"/>
          <w:sz w:val="28"/>
          <w:szCs w:val="28"/>
        </w:rPr>
      </w:pPr>
    </w:p>
    <w:p w14:paraId="10FF6CB9"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Рассмотрим подробнее </w:t>
      </w:r>
      <w:r>
        <w:rPr>
          <w:rFonts w:ascii="Times New Roman" w:hAnsi="Times New Roman" w:cs="Times New Roman"/>
          <w:sz w:val="28"/>
          <w:szCs w:val="28"/>
        </w:rPr>
        <w:t>структуру</w:t>
      </w:r>
      <w:r w:rsidRPr="008A5CBE">
        <w:rPr>
          <w:rFonts w:ascii="Times New Roman" w:hAnsi="Times New Roman" w:cs="Times New Roman"/>
          <w:sz w:val="28"/>
          <w:szCs w:val="28"/>
        </w:rPr>
        <w:t xml:space="preserve"> рынка ценных бумаг. </w:t>
      </w:r>
    </w:p>
    <w:p w14:paraId="76A7C472"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b/>
          <w:bCs/>
          <w:i/>
          <w:iCs/>
          <w:sz w:val="28"/>
          <w:szCs w:val="28"/>
        </w:rPr>
        <w:lastRenderedPageBreak/>
        <w:t>Первичный рынок</w:t>
      </w:r>
      <w:r w:rsidRPr="008A5CBE">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8A5CBE">
        <w:rPr>
          <w:rFonts w:ascii="Times New Roman" w:hAnsi="Times New Roman" w:cs="Times New Roman"/>
          <w:sz w:val="28"/>
          <w:szCs w:val="28"/>
        </w:rPr>
        <w:t xml:space="preserve"> это</w:t>
      </w:r>
      <w:proofErr w:type="gramEnd"/>
      <w:r w:rsidRPr="008A5CBE">
        <w:rPr>
          <w:rFonts w:ascii="Times New Roman" w:hAnsi="Times New Roman" w:cs="Times New Roman"/>
          <w:sz w:val="28"/>
          <w:szCs w:val="28"/>
        </w:rPr>
        <w:t xml:space="preserve"> рынок, на котором происходит первичное размещение ценной бумаги. Любая ценная бумага продается первый раз на первичном рынке. Таким образом, термин «первичный рынок» относится к продаже новых выпусков ценных бумаг. В результате продажи бумаг на первичном рынке лицо их выпустившее получает необходимые ему финансовые ресурсы, а бумаги поступают в руки первоначальных держателей. </w:t>
      </w:r>
    </w:p>
    <w:p w14:paraId="2F1BE076"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Функции первичного рынка ценных бумаг: </w:t>
      </w:r>
    </w:p>
    <w:p w14:paraId="023E5EE6"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организация выпуска ценных бумаг; </w:t>
      </w:r>
    </w:p>
    <w:p w14:paraId="415F30DA"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размещение ценных бумаг;</w:t>
      </w:r>
    </w:p>
    <w:p w14:paraId="5E139D04"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учет ценных бумаг; </w:t>
      </w:r>
    </w:p>
    <w:p w14:paraId="6B41E50F"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поддержание баланса спроса и предложения. </w:t>
      </w:r>
    </w:p>
    <w:p w14:paraId="09FE1969"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Ценные бумаги главным образом выпускаются юридическими лицами. В то же время такая бумага как вексель может быть выписана и физическим лицом. Лицо, выпускающее ценные бумаги, называют </w:t>
      </w:r>
      <w:r w:rsidRPr="008A5CBE">
        <w:rPr>
          <w:rFonts w:ascii="Times New Roman" w:hAnsi="Times New Roman" w:cs="Times New Roman"/>
          <w:i/>
          <w:iCs/>
          <w:sz w:val="28"/>
          <w:szCs w:val="28"/>
        </w:rPr>
        <w:t>эмитентом</w:t>
      </w:r>
      <w:r w:rsidRPr="008A5CBE">
        <w:rPr>
          <w:rFonts w:ascii="Times New Roman" w:hAnsi="Times New Roman" w:cs="Times New Roman"/>
          <w:sz w:val="28"/>
          <w:szCs w:val="28"/>
        </w:rPr>
        <w:t xml:space="preserve">, а выпуск бумаг </w:t>
      </w:r>
      <w:r>
        <w:rPr>
          <w:rFonts w:ascii="Times New Roman" w:hAnsi="Times New Roman" w:cs="Times New Roman"/>
          <w:sz w:val="28"/>
          <w:szCs w:val="28"/>
        </w:rPr>
        <w:t>-</w:t>
      </w:r>
      <w:r w:rsidRPr="008A5CBE">
        <w:rPr>
          <w:rFonts w:ascii="Times New Roman" w:hAnsi="Times New Roman" w:cs="Times New Roman"/>
          <w:sz w:val="28"/>
          <w:szCs w:val="28"/>
        </w:rPr>
        <w:t xml:space="preserve"> </w:t>
      </w:r>
      <w:r w:rsidRPr="008A5CBE">
        <w:rPr>
          <w:rFonts w:ascii="Times New Roman" w:hAnsi="Times New Roman" w:cs="Times New Roman"/>
          <w:i/>
          <w:iCs/>
          <w:sz w:val="28"/>
          <w:szCs w:val="28"/>
        </w:rPr>
        <w:t>эмиссией</w:t>
      </w:r>
      <w:r w:rsidRPr="008A5CBE">
        <w:rPr>
          <w:rFonts w:ascii="Times New Roman" w:hAnsi="Times New Roman" w:cs="Times New Roman"/>
          <w:sz w:val="28"/>
          <w:szCs w:val="28"/>
        </w:rPr>
        <w:t xml:space="preserve">. Лицо, приобретающее ценные бумаги, именуют инвестором. На фондовом рынке главными покупателями бумаг выступают юридические лица, прежде всего банки, страховые организации, инвестиционные, пенсионные фонды, так как именно они располагают наибольшей суммой средств. </w:t>
      </w:r>
    </w:p>
    <w:p w14:paraId="0DF5E9D3"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Основные операции первичного рынка: </w:t>
      </w:r>
    </w:p>
    <w:p w14:paraId="18C7C571"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эмиссия; </w:t>
      </w:r>
    </w:p>
    <w:p w14:paraId="486C4602"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определение основных форм размещения выпущенных ценных бумаг;</w:t>
      </w:r>
    </w:p>
    <w:p w14:paraId="67FAE9A2"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определение рыночной стоимости ценных бумаг; </w:t>
      </w:r>
    </w:p>
    <w:p w14:paraId="4E11CBC9" w14:textId="1FE1D5CD" w:rsidR="002F4146"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оценка инвестиционного риска;</w:t>
      </w:r>
    </w:p>
    <w:p w14:paraId="4B6A1DE2"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8A5CBE">
        <w:rPr>
          <w:rFonts w:ascii="Times New Roman" w:hAnsi="Times New Roman" w:cs="Times New Roman"/>
          <w:sz w:val="28"/>
          <w:szCs w:val="28"/>
        </w:rPr>
        <w:t xml:space="preserve">государственная регистрация выпуска; </w:t>
      </w:r>
    </w:p>
    <w:p w14:paraId="01F27673"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размещение ценных бумаг; </w:t>
      </w:r>
    </w:p>
    <w:p w14:paraId="2BC1DAAB"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регистрация отчета об итогах выпуска эмиссионных ценных бумаг; </w:t>
      </w:r>
    </w:p>
    <w:p w14:paraId="4B64E3C4"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назначение реестродержателя. </w:t>
      </w:r>
    </w:p>
    <w:p w14:paraId="48DC2557"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i/>
          <w:iCs/>
          <w:sz w:val="28"/>
          <w:szCs w:val="28"/>
        </w:rPr>
        <w:lastRenderedPageBreak/>
        <w:t>Выпуск ценных бумаг</w:t>
      </w:r>
      <w:r w:rsidRPr="008A5CBE">
        <w:rPr>
          <w:rFonts w:ascii="Times New Roman" w:hAnsi="Times New Roman" w:cs="Times New Roman"/>
          <w:sz w:val="28"/>
          <w:szCs w:val="28"/>
        </w:rPr>
        <w:t xml:space="preserve"> – это совокупность ценных бумаг эмитента, которые предоставляют одинаковый объем прав и имеют одни и те же условия размещения. </w:t>
      </w:r>
    </w:p>
    <w:p w14:paraId="22B1E778"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i/>
          <w:iCs/>
          <w:sz w:val="28"/>
          <w:szCs w:val="28"/>
        </w:rPr>
        <w:t>Размещение ценных бумаг</w:t>
      </w:r>
      <w:r w:rsidRPr="008A5CBE">
        <w:rPr>
          <w:rFonts w:ascii="Times New Roman" w:hAnsi="Times New Roman" w:cs="Times New Roman"/>
          <w:sz w:val="28"/>
          <w:szCs w:val="28"/>
        </w:rPr>
        <w:t xml:space="preserve"> – это отчуждение (передача) ценных бумаг их первым владельцем на основе заключения гражданско-правовых сделок на согласованных с эмитентом условиях. </w:t>
      </w:r>
    </w:p>
    <w:p w14:paraId="20962C00"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Существует несколько форм первичного размещения ценных бумаг: </w:t>
      </w:r>
    </w:p>
    <w:p w14:paraId="6983632C"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открытая подписка (без каких-либо преимуществ одних приобретателей перед другими); </w:t>
      </w:r>
    </w:p>
    <w:p w14:paraId="1124E8C1"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закрытая подписка; </w:t>
      </w:r>
    </w:p>
    <w:p w14:paraId="335B9E29"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аукцион; </w:t>
      </w:r>
    </w:p>
    <w:p w14:paraId="1C62ED2C"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инвестиционный конкурс; </w:t>
      </w:r>
    </w:p>
    <w:p w14:paraId="7B5CD435"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коммерческий конкурс; </w:t>
      </w:r>
    </w:p>
    <w:p w14:paraId="31967109"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распределение среди акционеров; </w:t>
      </w:r>
    </w:p>
    <w:p w14:paraId="583DBC07" w14:textId="77777777" w:rsidR="008A5CBE" w:rsidRDefault="008A5CBE"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8A5CBE">
        <w:rPr>
          <w:rFonts w:ascii="Times New Roman" w:hAnsi="Times New Roman" w:cs="Times New Roman"/>
          <w:sz w:val="28"/>
          <w:szCs w:val="28"/>
        </w:rPr>
        <w:t xml:space="preserve"> конвертация. </w:t>
      </w:r>
    </w:p>
    <w:p w14:paraId="2003A61A"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Подготовкой и размещением выпуска ценных бумаг на рынке занимаются только профессионалы рынка ценных бумаг. Участие профессионалов фондового рынка в размещении выпусков ценных бумаг на первичном рынке называется андеррайтингом. </w:t>
      </w:r>
    </w:p>
    <w:p w14:paraId="192C4FA1"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i/>
          <w:iCs/>
          <w:sz w:val="28"/>
          <w:szCs w:val="28"/>
        </w:rPr>
        <w:t>Андеррайтинг</w:t>
      </w:r>
      <w:r w:rsidRPr="008A5CBE">
        <w:rPr>
          <w:rFonts w:ascii="Times New Roman" w:hAnsi="Times New Roman" w:cs="Times New Roman"/>
          <w:sz w:val="28"/>
          <w:szCs w:val="28"/>
        </w:rPr>
        <w:t xml:space="preserve"> – это покупка или гарантирование покупки ценных бумаг при их первичном размещении для дальнейшей продажи инвесторам. </w:t>
      </w:r>
    </w:p>
    <w:p w14:paraId="2B86119F"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i/>
          <w:iCs/>
          <w:sz w:val="28"/>
          <w:szCs w:val="28"/>
        </w:rPr>
        <w:t xml:space="preserve">Андеррайтер </w:t>
      </w:r>
      <w:r w:rsidRPr="008A5CBE">
        <w:rPr>
          <w:rFonts w:ascii="Times New Roman" w:hAnsi="Times New Roman" w:cs="Times New Roman"/>
          <w:sz w:val="28"/>
          <w:szCs w:val="28"/>
        </w:rPr>
        <w:t xml:space="preserve">называется инвестиционный институт, который принял на себя </w:t>
      </w:r>
      <w:r>
        <w:rPr>
          <w:rFonts w:ascii="Times New Roman" w:hAnsi="Times New Roman" w:cs="Times New Roman"/>
          <w:sz w:val="28"/>
          <w:szCs w:val="28"/>
        </w:rPr>
        <w:t>о</w:t>
      </w:r>
      <w:r w:rsidRPr="008A5CBE">
        <w:rPr>
          <w:rFonts w:ascii="Times New Roman" w:hAnsi="Times New Roman" w:cs="Times New Roman"/>
          <w:sz w:val="28"/>
          <w:szCs w:val="28"/>
        </w:rPr>
        <w:t xml:space="preserve">бязанность разместить ценные бумаги от имени эмитента или от своего имени на согласованных с эмитентом условиях за вознаграждение. В качестве андеррайтера может выступать инвестиционные и коммерческие банки, брокерские фирмы, инвестиционные компании. </w:t>
      </w:r>
    </w:p>
    <w:p w14:paraId="646FC124"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b/>
          <w:bCs/>
          <w:i/>
          <w:iCs/>
          <w:sz w:val="28"/>
          <w:szCs w:val="28"/>
        </w:rPr>
        <w:t>Вторичный рынок</w:t>
      </w:r>
      <w:r w:rsidRPr="008A5CBE">
        <w:rPr>
          <w:rFonts w:ascii="Times New Roman" w:hAnsi="Times New Roman" w:cs="Times New Roman"/>
          <w:sz w:val="28"/>
          <w:szCs w:val="28"/>
        </w:rPr>
        <w:t xml:space="preserve"> – это рынок, на котором происходит обращение ценных бумаг. На нем уже не происходит аккумулирования новых финансовых средств для эмитента, а наблюдается только перераспределение ресурсов среди последующих инвесторов. Вторичный рынок, являясь </w:t>
      </w:r>
      <w:r w:rsidRPr="008A5CBE">
        <w:rPr>
          <w:rFonts w:ascii="Times New Roman" w:hAnsi="Times New Roman" w:cs="Times New Roman"/>
          <w:sz w:val="28"/>
          <w:szCs w:val="28"/>
        </w:rPr>
        <w:lastRenderedPageBreak/>
        <w:t xml:space="preserve">механизмом перепродажи, позволяет инвесторам свободно покупать и продавать бумаги. При отсутствии вторичного рынка или его слабой организации последующая перепродажа ценных бумаг была бы невозможна или затруднена, что оттолкнуло бы инвесторов от покупки всех или части бумаг. В итоге общество осталось бы в проигрыше, так как многие, особенно новейшие, предприятия и начинания не получили бы необходимой финансовой поддержки. </w:t>
      </w:r>
    </w:p>
    <w:p w14:paraId="04599FDD" w14:textId="77777777" w:rsidR="008A5CBE"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Основная черта вторичного рынка</w:t>
      </w: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Pr="008A5CBE">
        <w:rPr>
          <w:rFonts w:ascii="Times New Roman" w:hAnsi="Times New Roman" w:cs="Times New Roman"/>
          <w:sz w:val="28"/>
          <w:szCs w:val="28"/>
        </w:rPr>
        <w:t xml:space="preserve"> это</w:t>
      </w:r>
      <w:proofErr w:type="gramEnd"/>
      <w:r w:rsidRPr="008A5CBE">
        <w:rPr>
          <w:rFonts w:ascii="Times New Roman" w:hAnsi="Times New Roman" w:cs="Times New Roman"/>
          <w:sz w:val="28"/>
          <w:szCs w:val="28"/>
        </w:rPr>
        <w:t xml:space="preserve"> его ликвидность. </w:t>
      </w:r>
    </w:p>
    <w:p w14:paraId="23E6BF03" w14:textId="77777777" w:rsidR="00AB65B5"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Цель вторичного рынка - обеспечить реальные условия для покупки/продажи /других операций ценных бумаг после их первичного размещения. </w:t>
      </w:r>
    </w:p>
    <w:p w14:paraId="1DDF4EB7" w14:textId="77777777" w:rsidR="00AB65B5"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Функции вторичного рынка ценных бумаг: </w:t>
      </w:r>
    </w:p>
    <w:p w14:paraId="76E8B219" w14:textId="77777777" w:rsidR="00AB65B5" w:rsidRDefault="00AB65B5"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5CBE" w:rsidRPr="008A5CBE">
        <w:rPr>
          <w:rFonts w:ascii="Times New Roman" w:hAnsi="Times New Roman" w:cs="Times New Roman"/>
          <w:sz w:val="28"/>
          <w:szCs w:val="28"/>
        </w:rPr>
        <w:t xml:space="preserve"> обеспечивает ликвидность ценных бумаг путем сведения друг с другом продавцов и покупателей; </w:t>
      </w:r>
    </w:p>
    <w:p w14:paraId="7B6EF629" w14:textId="77777777" w:rsidR="00AB65B5" w:rsidRDefault="00AB65B5"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5CBE" w:rsidRPr="008A5CBE">
        <w:rPr>
          <w:rFonts w:ascii="Times New Roman" w:hAnsi="Times New Roman" w:cs="Times New Roman"/>
          <w:sz w:val="28"/>
          <w:szCs w:val="28"/>
        </w:rPr>
        <w:t xml:space="preserve"> обеспечивает баланс спроса и предложения; </w:t>
      </w:r>
    </w:p>
    <w:p w14:paraId="2984F924" w14:textId="77777777" w:rsidR="00AB65B5" w:rsidRDefault="00AB65B5"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5CBE" w:rsidRPr="008A5CBE">
        <w:rPr>
          <w:rFonts w:ascii="Times New Roman" w:hAnsi="Times New Roman" w:cs="Times New Roman"/>
          <w:sz w:val="28"/>
          <w:szCs w:val="28"/>
        </w:rPr>
        <w:t xml:space="preserve"> обеспечивает перераспределение капиталов из депрессивных секторов народного хозяйства в наиболее перспективные и эффективно работающие секторы и отрасли народного хозяйства. </w:t>
      </w:r>
    </w:p>
    <w:p w14:paraId="316699DF" w14:textId="77777777" w:rsidR="00AB65B5"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В структуре вторичного рынка выделяют </w:t>
      </w:r>
      <w:r w:rsidRPr="00AB65B5">
        <w:rPr>
          <w:rFonts w:ascii="Times New Roman" w:hAnsi="Times New Roman" w:cs="Times New Roman"/>
          <w:i/>
          <w:iCs/>
          <w:sz w:val="28"/>
          <w:szCs w:val="28"/>
        </w:rPr>
        <w:t>биржевой</w:t>
      </w:r>
      <w:r w:rsidRPr="008A5CBE">
        <w:rPr>
          <w:rFonts w:ascii="Times New Roman" w:hAnsi="Times New Roman" w:cs="Times New Roman"/>
          <w:sz w:val="28"/>
          <w:szCs w:val="28"/>
        </w:rPr>
        <w:t xml:space="preserve"> и </w:t>
      </w:r>
      <w:r w:rsidRPr="00AB65B5">
        <w:rPr>
          <w:rFonts w:ascii="Times New Roman" w:hAnsi="Times New Roman" w:cs="Times New Roman"/>
          <w:i/>
          <w:iCs/>
          <w:sz w:val="28"/>
          <w:szCs w:val="28"/>
        </w:rPr>
        <w:t>внебиржевой</w:t>
      </w:r>
      <w:r w:rsidRPr="008A5CBE">
        <w:rPr>
          <w:rFonts w:ascii="Times New Roman" w:hAnsi="Times New Roman" w:cs="Times New Roman"/>
          <w:sz w:val="28"/>
          <w:szCs w:val="28"/>
        </w:rPr>
        <w:t xml:space="preserve"> рынки. </w:t>
      </w:r>
    </w:p>
    <w:p w14:paraId="097D4786" w14:textId="77777777" w:rsidR="00AB65B5" w:rsidRDefault="008A5CBE" w:rsidP="002F4146">
      <w:pPr>
        <w:spacing w:after="0" w:line="360" w:lineRule="auto"/>
        <w:ind w:firstLine="709"/>
        <w:jc w:val="both"/>
        <w:rPr>
          <w:rFonts w:ascii="Times New Roman" w:hAnsi="Times New Roman" w:cs="Times New Roman"/>
          <w:sz w:val="28"/>
          <w:szCs w:val="28"/>
        </w:rPr>
      </w:pPr>
      <w:r w:rsidRPr="00AB65B5">
        <w:rPr>
          <w:rFonts w:ascii="Times New Roman" w:hAnsi="Times New Roman" w:cs="Times New Roman"/>
          <w:i/>
          <w:iCs/>
          <w:sz w:val="28"/>
          <w:szCs w:val="28"/>
        </w:rPr>
        <w:t>Биржевой рынок</w:t>
      </w:r>
      <w:r w:rsidRPr="008A5CBE">
        <w:rPr>
          <w:rFonts w:ascii="Times New Roman" w:hAnsi="Times New Roman" w:cs="Times New Roman"/>
          <w:sz w:val="28"/>
          <w:szCs w:val="28"/>
        </w:rPr>
        <w:t xml:space="preserve"> представлен обращением ценных бумаг на биржах. </w:t>
      </w:r>
    </w:p>
    <w:p w14:paraId="0BA92D33" w14:textId="77777777" w:rsidR="00AB65B5" w:rsidRDefault="008A5CBE" w:rsidP="002F4146">
      <w:pPr>
        <w:spacing w:after="0" w:line="360" w:lineRule="auto"/>
        <w:ind w:firstLine="709"/>
        <w:jc w:val="both"/>
        <w:rPr>
          <w:rFonts w:ascii="Times New Roman" w:hAnsi="Times New Roman" w:cs="Times New Roman"/>
          <w:sz w:val="28"/>
          <w:szCs w:val="28"/>
        </w:rPr>
      </w:pPr>
      <w:r w:rsidRPr="00AB65B5">
        <w:rPr>
          <w:rFonts w:ascii="Times New Roman" w:hAnsi="Times New Roman" w:cs="Times New Roman"/>
          <w:i/>
          <w:iCs/>
          <w:sz w:val="28"/>
          <w:szCs w:val="28"/>
        </w:rPr>
        <w:t>Внебиржевой рынок</w:t>
      </w:r>
      <w:r w:rsidRPr="008A5CBE">
        <w:rPr>
          <w:rFonts w:ascii="Times New Roman" w:hAnsi="Times New Roman" w:cs="Times New Roman"/>
          <w:sz w:val="28"/>
          <w:szCs w:val="28"/>
        </w:rPr>
        <w:t xml:space="preserve"> охватывает обращение бумаг вне бирж. Такое деление вторичного рынка связано с тем, что не все ценные бумаги могут обращаться на бирже. Исторически вначале возник внебиржевой рынок, где участники сделки самостоятельно договаривались по всем вопросам сделки. Однако</w:t>
      </w:r>
      <w:r w:rsidR="00AB65B5">
        <w:rPr>
          <w:rFonts w:ascii="Times New Roman" w:hAnsi="Times New Roman" w:cs="Times New Roman"/>
          <w:sz w:val="28"/>
          <w:szCs w:val="28"/>
        </w:rPr>
        <w:t>,</w:t>
      </w:r>
      <w:r w:rsidRPr="008A5CBE">
        <w:rPr>
          <w:rFonts w:ascii="Times New Roman" w:hAnsi="Times New Roman" w:cs="Times New Roman"/>
          <w:sz w:val="28"/>
          <w:szCs w:val="28"/>
        </w:rPr>
        <w:t xml:space="preserve"> такой рынок подразумевал отсутствие строгих правил торговли на рынке, а также отличался высокой степенью риска и возможностью мошенничества. </w:t>
      </w:r>
    </w:p>
    <w:p w14:paraId="30BB740C" w14:textId="77777777" w:rsidR="00AB65B5"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В последующем рост операций с ценными бумагами потребовал организации более упорядоченной торговли, т.е. организованного рынка </w:t>
      </w:r>
      <w:r w:rsidRPr="008A5CBE">
        <w:rPr>
          <w:rFonts w:ascii="Times New Roman" w:hAnsi="Times New Roman" w:cs="Times New Roman"/>
          <w:sz w:val="28"/>
          <w:szCs w:val="28"/>
        </w:rPr>
        <w:lastRenderedPageBreak/>
        <w:t xml:space="preserve">ценных бумаг, со строго установленными правилами, чем и стала фондовая биржа. </w:t>
      </w:r>
    </w:p>
    <w:p w14:paraId="6B90DAE0" w14:textId="69F27049" w:rsidR="00AD1083"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Кратко фондовую биржу можно определить как организованный рынок ценных бумаг. Это означает, что существует определенное место, время и правила торговли ценными бумагами. Но не все ценные бумаги могут обращаться на бирже. На нее допускаются бумаги только эмитентов, которые отвечают ее требованиям. Как правило, это бумаги крупных финансово крепких компаний. Ценные бумаги молодых финансово слабых компаний обычно обращаются на внебиржевом рынке. Каждая биржа разрабатывает свой перечень требований к эмитентам. Поэтому в зависимости от их жесткости бумаги одной и той же компании могут котироваться, т. е. обращаться, на одной или нескольких биржах. В связи с проверкой эмитента на предмет соответствия его состояния требованиям биржи возник специальный термин </w:t>
      </w:r>
      <w:r w:rsidR="00AD1083">
        <w:rPr>
          <w:rFonts w:ascii="Times New Roman" w:hAnsi="Times New Roman" w:cs="Times New Roman"/>
          <w:sz w:val="28"/>
          <w:szCs w:val="28"/>
        </w:rPr>
        <w:t>-</w:t>
      </w:r>
      <w:r w:rsidRPr="008A5CBE">
        <w:rPr>
          <w:rFonts w:ascii="Times New Roman" w:hAnsi="Times New Roman" w:cs="Times New Roman"/>
          <w:sz w:val="28"/>
          <w:szCs w:val="28"/>
        </w:rPr>
        <w:t xml:space="preserve"> «листинг».</w:t>
      </w:r>
    </w:p>
    <w:p w14:paraId="553C6D95" w14:textId="77777777" w:rsidR="00AD1083" w:rsidRDefault="008A5CBE" w:rsidP="002F4146">
      <w:pPr>
        <w:spacing w:after="0" w:line="360" w:lineRule="auto"/>
        <w:ind w:firstLine="709"/>
        <w:jc w:val="both"/>
        <w:rPr>
          <w:rFonts w:ascii="Times New Roman" w:hAnsi="Times New Roman" w:cs="Times New Roman"/>
          <w:sz w:val="28"/>
          <w:szCs w:val="28"/>
        </w:rPr>
      </w:pPr>
      <w:r w:rsidRPr="00AD1083">
        <w:rPr>
          <w:rFonts w:ascii="Times New Roman" w:hAnsi="Times New Roman" w:cs="Times New Roman"/>
          <w:b/>
          <w:bCs/>
          <w:i/>
          <w:iCs/>
          <w:sz w:val="28"/>
          <w:szCs w:val="28"/>
        </w:rPr>
        <w:t>Листинг</w:t>
      </w:r>
      <w:r w:rsidRPr="00AD1083">
        <w:rPr>
          <w:rFonts w:ascii="Times New Roman" w:hAnsi="Times New Roman" w:cs="Times New Roman"/>
          <w:b/>
          <w:bCs/>
          <w:sz w:val="28"/>
          <w:szCs w:val="28"/>
        </w:rPr>
        <w:t xml:space="preserve"> </w:t>
      </w:r>
      <w:proofErr w:type="gramStart"/>
      <w:r w:rsidR="00AD1083">
        <w:rPr>
          <w:rFonts w:ascii="Times New Roman" w:hAnsi="Times New Roman" w:cs="Times New Roman"/>
          <w:sz w:val="28"/>
          <w:szCs w:val="28"/>
        </w:rPr>
        <w:t>-</w:t>
      </w:r>
      <w:r w:rsidRPr="008A5CBE">
        <w:rPr>
          <w:rFonts w:ascii="Times New Roman" w:hAnsi="Times New Roman" w:cs="Times New Roman"/>
          <w:sz w:val="28"/>
          <w:szCs w:val="28"/>
        </w:rPr>
        <w:t xml:space="preserve"> это</w:t>
      </w:r>
      <w:proofErr w:type="gramEnd"/>
      <w:r w:rsidRPr="008A5CBE">
        <w:rPr>
          <w:rFonts w:ascii="Times New Roman" w:hAnsi="Times New Roman" w:cs="Times New Roman"/>
          <w:sz w:val="28"/>
          <w:szCs w:val="28"/>
        </w:rPr>
        <w:t xml:space="preserve"> процедура включения ценной бумаги эмитента в котировальный список биржи. Если эмитент отвечает предъявляемым критериям и желает, чтобы его бумаги котировались на бирже, то его бумаги допускаются к обращению на бирже. Если в последующем эмитент перестает им удовлетворять, его бумаги могут быть исключены из котировального списка. Такая процедура получила название </w:t>
      </w:r>
      <w:r w:rsidRPr="00AD1083">
        <w:rPr>
          <w:rFonts w:ascii="Times New Roman" w:hAnsi="Times New Roman" w:cs="Times New Roman"/>
          <w:b/>
          <w:bCs/>
          <w:i/>
          <w:iCs/>
          <w:sz w:val="28"/>
          <w:szCs w:val="28"/>
        </w:rPr>
        <w:t>делистинга</w:t>
      </w:r>
      <w:r w:rsidRPr="008A5CBE">
        <w:rPr>
          <w:rFonts w:ascii="Times New Roman" w:hAnsi="Times New Roman" w:cs="Times New Roman"/>
          <w:sz w:val="28"/>
          <w:szCs w:val="28"/>
        </w:rPr>
        <w:t xml:space="preserve">. Как правило, акционерное общество (АО) стремится, чтобы его акции обращались на бирже, поскольку сам факт котировки акций на бирже говорит об определенном уровне надежности АО (оно прошло экспертизу специалистов биржи). При прочих равных условиях таким предприятиям легче привлекать средства за счет выпуска новых акций. Инвесторы могут судить об их положении и перспективах на основе легко доступных биржевых котировок. </w:t>
      </w:r>
    </w:p>
    <w:p w14:paraId="0CE7FA61" w14:textId="77777777" w:rsidR="00AD1083"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В зависимости от сроков, на которые заключаются сделки с ценными бумагами, рынки ценных бумаг можно разделить на </w:t>
      </w:r>
      <w:proofErr w:type="spellStart"/>
      <w:r w:rsidRPr="008A5CBE">
        <w:rPr>
          <w:rFonts w:ascii="Times New Roman" w:hAnsi="Times New Roman" w:cs="Times New Roman"/>
          <w:sz w:val="28"/>
          <w:szCs w:val="28"/>
        </w:rPr>
        <w:t>спотовые</w:t>
      </w:r>
      <w:proofErr w:type="spellEnd"/>
      <w:r w:rsidRPr="008A5CBE">
        <w:rPr>
          <w:rFonts w:ascii="Times New Roman" w:hAnsi="Times New Roman" w:cs="Times New Roman"/>
          <w:sz w:val="28"/>
          <w:szCs w:val="28"/>
        </w:rPr>
        <w:t xml:space="preserve"> (кассовые) и срочные. </w:t>
      </w:r>
    </w:p>
    <w:p w14:paraId="3EEC7715" w14:textId="135B6A22" w:rsidR="00AD1083" w:rsidRDefault="008A5CBE" w:rsidP="002F4146">
      <w:pPr>
        <w:spacing w:after="0" w:line="360" w:lineRule="auto"/>
        <w:ind w:firstLine="709"/>
        <w:jc w:val="both"/>
        <w:rPr>
          <w:rFonts w:ascii="Times New Roman" w:hAnsi="Times New Roman" w:cs="Times New Roman"/>
          <w:sz w:val="28"/>
          <w:szCs w:val="28"/>
        </w:rPr>
      </w:pPr>
      <w:r w:rsidRPr="00AD1083">
        <w:rPr>
          <w:rFonts w:ascii="Times New Roman" w:hAnsi="Times New Roman" w:cs="Times New Roman"/>
          <w:b/>
          <w:bCs/>
          <w:i/>
          <w:iCs/>
          <w:sz w:val="28"/>
          <w:szCs w:val="28"/>
        </w:rPr>
        <w:lastRenderedPageBreak/>
        <w:t>Кассовый рынок</w:t>
      </w:r>
      <w:r w:rsidRPr="00AD1083">
        <w:rPr>
          <w:rFonts w:ascii="Times New Roman" w:hAnsi="Times New Roman" w:cs="Times New Roman"/>
          <w:i/>
          <w:iCs/>
          <w:sz w:val="28"/>
          <w:szCs w:val="28"/>
        </w:rPr>
        <w:t xml:space="preserve"> (</w:t>
      </w:r>
      <w:r w:rsidRPr="008A5CBE">
        <w:rPr>
          <w:rFonts w:ascii="Times New Roman" w:hAnsi="Times New Roman" w:cs="Times New Roman"/>
          <w:sz w:val="28"/>
          <w:szCs w:val="28"/>
        </w:rPr>
        <w:t xml:space="preserve">рынок «спот», рынок «кэш») это рынок наличных сделок. </w:t>
      </w:r>
      <w:r w:rsidR="00AD1083" w:rsidRPr="00AD1083">
        <w:rPr>
          <w:rFonts w:ascii="Times New Roman" w:hAnsi="Times New Roman" w:cs="Times New Roman"/>
          <w:sz w:val="28"/>
          <w:szCs w:val="28"/>
        </w:rPr>
        <w:t>Н</w:t>
      </w:r>
      <w:r w:rsidRPr="00AD1083">
        <w:rPr>
          <w:rFonts w:ascii="Times New Roman" w:hAnsi="Times New Roman" w:cs="Times New Roman"/>
          <w:sz w:val="28"/>
          <w:szCs w:val="28"/>
        </w:rPr>
        <w:t xml:space="preserve">а </w:t>
      </w:r>
      <w:proofErr w:type="spellStart"/>
      <w:r w:rsidRPr="00AD1083">
        <w:rPr>
          <w:rFonts w:ascii="Times New Roman" w:hAnsi="Times New Roman" w:cs="Times New Roman"/>
          <w:sz w:val="28"/>
          <w:szCs w:val="28"/>
        </w:rPr>
        <w:t>спотовом</w:t>
      </w:r>
      <w:proofErr w:type="spellEnd"/>
      <w:r w:rsidRPr="00AD1083">
        <w:rPr>
          <w:rFonts w:ascii="Times New Roman" w:hAnsi="Times New Roman" w:cs="Times New Roman"/>
          <w:i/>
          <w:iCs/>
          <w:sz w:val="28"/>
          <w:szCs w:val="28"/>
        </w:rPr>
        <w:t xml:space="preserve"> рынке</w:t>
      </w:r>
      <w:r w:rsidRPr="008A5CBE">
        <w:rPr>
          <w:rFonts w:ascii="Times New Roman" w:hAnsi="Times New Roman" w:cs="Times New Roman"/>
          <w:sz w:val="28"/>
          <w:szCs w:val="28"/>
        </w:rPr>
        <w:t xml:space="preserve"> происходит одновременная оплата и поставка ценных бумаг. Законодательство различных стран обычно отводит контрагентам несколько дней (один - три) с момента заключения сделки для осуществления взаиморасчетов. Цену, возникающую на </w:t>
      </w:r>
      <w:proofErr w:type="spellStart"/>
      <w:r w:rsidRPr="008A5CBE">
        <w:rPr>
          <w:rFonts w:ascii="Times New Roman" w:hAnsi="Times New Roman" w:cs="Times New Roman"/>
          <w:sz w:val="28"/>
          <w:szCs w:val="28"/>
        </w:rPr>
        <w:t>спотовом</w:t>
      </w:r>
      <w:proofErr w:type="spellEnd"/>
      <w:r w:rsidRPr="008A5CBE">
        <w:rPr>
          <w:rFonts w:ascii="Times New Roman" w:hAnsi="Times New Roman" w:cs="Times New Roman"/>
          <w:sz w:val="28"/>
          <w:szCs w:val="28"/>
        </w:rPr>
        <w:t xml:space="preserve"> рынке, называют </w:t>
      </w:r>
      <w:proofErr w:type="spellStart"/>
      <w:r w:rsidRPr="008A5CBE">
        <w:rPr>
          <w:rFonts w:ascii="Times New Roman" w:hAnsi="Times New Roman" w:cs="Times New Roman"/>
          <w:sz w:val="28"/>
          <w:szCs w:val="28"/>
        </w:rPr>
        <w:t>спотовой</w:t>
      </w:r>
      <w:proofErr w:type="spellEnd"/>
      <w:r w:rsidRPr="008A5CBE">
        <w:rPr>
          <w:rFonts w:ascii="Times New Roman" w:hAnsi="Times New Roman" w:cs="Times New Roman"/>
          <w:sz w:val="28"/>
          <w:szCs w:val="28"/>
        </w:rPr>
        <w:t xml:space="preserve"> или кассовой. </w:t>
      </w:r>
    </w:p>
    <w:p w14:paraId="689C30FD" w14:textId="77777777" w:rsidR="00AD1083" w:rsidRDefault="008A5CBE" w:rsidP="002F4146">
      <w:pPr>
        <w:spacing w:after="0" w:line="360" w:lineRule="auto"/>
        <w:ind w:firstLine="709"/>
        <w:jc w:val="both"/>
        <w:rPr>
          <w:rFonts w:ascii="Times New Roman" w:hAnsi="Times New Roman" w:cs="Times New Roman"/>
          <w:sz w:val="28"/>
          <w:szCs w:val="28"/>
        </w:rPr>
      </w:pPr>
      <w:r w:rsidRPr="00AD1083">
        <w:rPr>
          <w:rFonts w:ascii="Times New Roman" w:hAnsi="Times New Roman" w:cs="Times New Roman"/>
          <w:b/>
          <w:bCs/>
          <w:i/>
          <w:iCs/>
          <w:sz w:val="28"/>
          <w:szCs w:val="28"/>
        </w:rPr>
        <w:t>Срочный рынок</w:t>
      </w:r>
      <w:r w:rsidRPr="008A5CBE">
        <w:rPr>
          <w:rFonts w:ascii="Times New Roman" w:hAnsi="Times New Roman" w:cs="Times New Roman"/>
          <w:sz w:val="28"/>
          <w:szCs w:val="28"/>
        </w:rPr>
        <w:t xml:space="preserve"> — это рынок, на котором заключаются срочные сделки. Срочная сделка представляет собой договор между контрагентами о будущей поставке предмета контракта на условиях, которые оговариваются в момент заключения такой сделки. </w:t>
      </w:r>
    </w:p>
    <w:p w14:paraId="5BAAF98A" w14:textId="77777777" w:rsidR="00AD1083"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 xml:space="preserve">По характеру эмитентов фондовый рынок можно разделить на рынок </w:t>
      </w:r>
      <w:r w:rsidRPr="00AD1083">
        <w:rPr>
          <w:rFonts w:ascii="Times New Roman" w:hAnsi="Times New Roman" w:cs="Times New Roman"/>
          <w:i/>
          <w:iCs/>
          <w:sz w:val="28"/>
          <w:szCs w:val="28"/>
        </w:rPr>
        <w:t>государственных</w:t>
      </w:r>
      <w:r w:rsidRPr="008A5CBE">
        <w:rPr>
          <w:rFonts w:ascii="Times New Roman" w:hAnsi="Times New Roman" w:cs="Times New Roman"/>
          <w:sz w:val="28"/>
          <w:szCs w:val="28"/>
        </w:rPr>
        <w:t xml:space="preserve"> и </w:t>
      </w:r>
      <w:r w:rsidRPr="00AD1083">
        <w:rPr>
          <w:rFonts w:ascii="Times New Roman" w:hAnsi="Times New Roman" w:cs="Times New Roman"/>
          <w:i/>
          <w:iCs/>
          <w:sz w:val="28"/>
          <w:szCs w:val="28"/>
        </w:rPr>
        <w:t>негосударственных</w:t>
      </w:r>
      <w:r w:rsidRPr="008A5CBE">
        <w:rPr>
          <w:rFonts w:ascii="Times New Roman" w:hAnsi="Times New Roman" w:cs="Times New Roman"/>
          <w:sz w:val="28"/>
          <w:szCs w:val="28"/>
        </w:rPr>
        <w:t xml:space="preserve"> ценных бумаг. Рынок негосударственных бумаг помогает аккумулировать финансовые ресурсы для предпринимательского сектора.</w:t>
      </w:r>
      <w:r w:rsidR="00AD1083">
        <w:rPr>
          <w:rFonts w:ascii="Times New Roman" w:hAnsi="Times New Roman" w:cs="Times New Roman"/>
          <w:sz w:val="28"/>
          <w:szCs w:val="28"/>
        </w:rPr>
        <w:t xml:space="preserve"> </w:t>
      </w:r>
      <w:r w:rsidRPr="008A5CBE">
        <w:rPr>
          <w:rFonts w:ascii="Times New Roman" w:hAnsi="Times New Roman" w:cs="Times New Roman"/>
          <w:sz w:val="28"/>
          <w:szCs w:val="28"/>
        </w:rPr>
        <w:t xml:space="preserve">Рынок государственных ценных бумаг позволяет решать две важные задачи: </w:t>
      </w:r>
    </w:p>
    <w:p w14:paraId="6F726E56" w14:textId="77777777" w:rsidR="00AD1083" w:rsidRDefault="00AD1083"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5CBE" w:rsidRPr="008A5CBE">
        <w:rPr>
          <w:rFonts w:ascii="Times New Roman" w:hAnsi="Times New Roman" w:cs="Times New Roman"/>
          <w:sz w:val="28"/>
          <w:szCs w:val="28"/>
        </w:rPr>
        <w:t xml:space="preserve"> государство может мобилизовывать необходимые ему денежные ресурсы, </w:t>
      </w:r>
      <w:proofErr w:type="gramStart"/>
      <w:r w:rsidR="008A5CBE" w:rsidRPr="008A5CBE">
        <w:rPr>
          <w:rFonts w:ascii="Times New Roman" w:hAnsi="Times New Roman" w:cs="Times New Roman"/>
          <w:sz w:val="28"/>
          <w:szCs w:val="28"/>
        </w:rPr>
        <w:t>и в частности</w:t>
      </w:r>
      <w:proofErr w:type="gramEnd"/>
      <w:r w:rsidR="008A5CBE" w:rsidRPr="008A5CBE">
        <w:rPr>
          <w:rFonts w:ascii="Times New Roman" w:hAnsi="Times New Roman" w:cs="Times New Roman"/>
          <w:sz w:val="28"/>
          <w:szCs w:val="28"/>
        </w:rPr>
        <w:t xml:space="preserve"> финансировать дефицит госбюджета; </w:t>
      </w:r>
    </w:p>
    <w:p w14:paraId="59D575B1" w14:textId="77777777" w:rsidR="00AD1083" w:rsidRDefault="00AD1083" w:rsidP="002F41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A5CBE" w:rsidRPr="008A5CBE">
        <w:rPr>
          <w:rFonts w:ascii="Times New Roman" w:hAnsi="Times New Roman" w:cs="Times New Roman"/>
          <w:sz w:val="28"/>
          <w:szCs w:val="28"/>
        </w:rPr>
        <w:t xml:space="preserve"> выступает одним из инструментов регулирования процентной ставки в экономике. </w:t>
      </w:r>
    </w:p>
    <w:p w14:paraId="35D3ED2B" w14:textId="13FFDD32" w:rsidR="008A5CBE" w:rsidRPr="002F4146" w:rsidRDefault="008A5CBE" w:rsidP="002F4146">
      <w:pPr>
        <w:spacing w:after="0" w:line="360" w:lineRule="auto"/>
        <w:ind w:firstLine="709"/>
        <w:jc w:val="both"/>
        <w:rPr>
          <w:rFonts w:ascii="Times New Roman" w:hAnsi="Times New Roman" w:cs="Times New Roman"/>
          <w:sz w:val="28"/>
          <w:szCs w:val="28"/>
        </w:rPr>
      </w:pPr>
      <w:r w:rsidRPr="008A5CBE">
        <w:rPr>
          <w:rFonts w:ascii="Times New Roman" w:hAnsi="Times New Roman" w:cs="Times New Roman"/>
          <w:sz w:val="28"/>
          <w:szCs w:val="28"/>
        </w:rPr>
        <w:t>Процентная ставка является ценой денег и поэтому зависит от их предложения. Если центральный банк полагает, что необходимо стимулировать предпринимательскую активность за счет снижения процентной ставки, он начинает покупать государственные ценные бумаги. В экономику поступает дополнительная масса денег и процентная ставка понижается. Если центральный банк считает, что быстрый экономический рост грозит высокой инфляцией, он продает государственные ценные бумаги. В результате из экономики изымается часть денег, что ведет к росту процентной ставки и сдерживанию деловой активности.</w:t>
      </w:r>
    </w:p>
    <w:p w14:paraId="0707A69E" w14:textId="18D3C490" w:rsidR="002F4146" w:rsidRDefault="002F4146" w:rsidP="002F4146">
      <w:pPr>
        <w:spacing w:after="0" w:line="360" w:lineRule="auto"/>
        <w:jc w:val="center"/>
        <w:rPr>
          <w:rFonts w:ascii="Times New Roman" w:hAnsi="Times New Roman" w:cs="Times New Roman"/>
          <w:sz w:val="28"/>
          <w:szCs w:val="28"/>
        </w:rPr>
      </w:pPr>
    </w:p>
    <w:p w14:paraId="0F2898CA" w14:textId="77777777" w:rsidR="00A72D00" w:rsidRPr="002F4146" w:rsidRDefault="00A72D00" w:rsidP="002F4146">
      <w:pPr>
        <w:spacing w:after="0" w:line="360" w:lineRule="auto"/>
        <w:jc w:val="center"/>
        <w:rPr>
          <w:rFonts w:ascii="Times New Roman" w:hAnsi="Times New Roman" w:cs="Times New Roman"/>
          <w:sz w:val="28"/>
          <w:szCs w:val="28"/>
        </w:rPr>
      </w:pPr>
    </w:p>
    <w:p w14:paraId="237A3402" w14:textId="77777777" w:rsidR="00A72D00" w:rsidRPr="00A72D00" w:rsidRDefault="00A72D00" w:rsidP="00A72D00">
      <w:pPr>
        <w:jc w:val="center"/>
        <w:rPr>
          <w:rFonts w:ascii="Times New Roman" w:hAnsi="Times New Roman" w:cs="Times New Roman"/>
          <w:b/>
          <w:bCs/>
          <w:sz w:val="28"/>
          <w:szCs w:val="28"/>
        </w:rPr>
      </w:pPr>
      <w:r w:rsidRPr="00A72D00">
        <w:rPr>
          <w:rFonts w:ascii="Times New Roman" w:hAnsi="Times New Roman" w:cs="Times New Roman"/>
          <w:b/>
          <w:bCs/>
          <w:sz w:val="28"/>
          <w:szCs w:val="28"/>
        </w:rPr>
        <w:lastRenderedPageBreak/>
        <w:t>3. Участники рынка ценных бумаг</w:t>
      </w:r>
    </w:p>
    <w:p w14:paraId="4BEEE90E" w14:textId="77777777" w:rsidR="00F02EF9" w:rsidRDefault="00F02EF9" w:rsidP="00F02EF9">
      <w:pPr>
        <w:spacing w:after="0" w:line="360" w:lineRule="auto"/>
        <w:ind w:firstLine="709"/>
        <w:rPr>
          <w:rFonts w:ascii="Times New Roman" w:hAnsi="Times New Roman" w:cs="Times New Roman"/>
          <w:bCs/>
          <w:sz w:val="28"/>
          <w:szCs w:val="28"/>
        </w:rPr>
      </w:pPr>
    </w:p>
    <w:p w14:paraId="6C5ADBEC" w14:textId="2D95190E"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Cs/>
          <w:sz w:val="28"/>
          <w:szCs w:val="28"/>
        </w:rPr>
        <w:t>Фондовый рынок</w:t>
      </w:r>
      <w:r w:rsidRPr="00F02EF9">
        <w:rPr>
          <w:rFonts w:ascii="Times New Roman" w:hAnsi="Times New Roman" w:cs="Times New Roman"/>
          <w:sz w:val="28"/>
          <w:szCs w:val="28"/>
        </w:rPr>
        <w:t> – это организованный рынок ценных бумаг, все участники которого работают по установленным правилам (рис. 2.19).</w:t>
      </w:r>
    </w:p>
    <w:p w14:paraId="74B3D242"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Участники фондового рынка</w:t>
      </w:r>
      <w:r w:rsidRPr="00F02EF9">
        <w:rPr>
          <w:rFonts w:ascii="Times New Roman" w:hAnsi="Times New Roman" w:cs="Times New Roman"/>
          <w:sz w:val="28"/>
          <w:szCs w:val="28"/>
        </w:rPr>
        <w:t xml:space="preserve"> (субъекты рынка) – это физические и юридические лица, которые осуществляют куплю, продажу ценных бумаг или обслуживание их оборота и расчеты по ним, вступая между собой в определенные экономические отношения, связанные с обращением ценных бумаг. Всех участников рынка ценных бумаг условно можно разделить на профессиональных и непрофессиональных участников.</w:t>
      </w:r>
    </w:p>
    <w:p w14:paraId="7EDC5400"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В зависимости от функционального назначения всех участников рынка ценных бумаг можно подразделить на: </w:t>
      </w:r>
    </w:p>
    <w:p w14:paraId="4BEF8629"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1) эмитентов; </w:t>
      </w:r>
    </w:p>
    <w:p w14:paraId="6F4B2362"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2) инвесторов; </w:t>
      </w:r>
    </w:p>
    <w:p w14:paraId="03D6AEF4"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3) фондовых посредников; </w:t>
      </w:r>
    </w:p>
    <w:p w14:paraId="22106BAF"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4) органы регулирования и контроля; </w:t>
      </w:r>
    </w:p>
    <w:p w14:paraId="319632FA" w14:textId="5E028761"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5) организации, обслуживающие рынок.</w:t>
      </w:r>
    </w:p>
    <w:p w14:paraId="6A2E642E" w14:textId="6AFFCB13"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Эмитенты ценных бумаг – это юридические лица, которые от своего имени выпускают ценные бумаги и обязуются выполнить обязательства, вытекающие из условий выпуска ценных бумаг. В качестве эмитентов могут выступать государство в лице его органов, а также негосударственные структуры, такие как акционерные общества, инвестиционные фонды, предприятия, банки, биржи. Ограничения существуют лишь по отдельным видам ценных бумаг. </w:t>
      </w:r>
    </w:p>
    <w:p w14:paraId="721E8213" w14:textId="1770FB94" w:rsidR="00F02EF9" w:rsidRDefault="00F02EF9" w:rsidP="00F02EF9">
      <w:pPr>
        <w:spacing w:after="0" w:line="360" w:lineRule="auto"/>
        <w:ind w:firstLine="709"/>
        <w:jc w:val="both"/>
        <w:rPr>
          <w:rFonts w:ascii="Times New Roman" w:hAnsi="Times New Roman" w:cs="Times New Roman"/>
          <w:sz w:val="28"/>
          <w:szCs w:val="28"/>
        </w:rPr>
      </w:pPr>
    </w:p>
    <w:p w14:paraId="64702D29" w14:textId="3E817A47" w:rsidR="00F02EF9" w:rsidRDefault="00F02EF9" w:rsidP="00F02EF9">
      <w:pPr>
        <w:spacing w:after="0" w:line="360" w:lineRule="auto"/>
        <w:ind w:firstLine="709"/>
        <w:rPr>
          <w:rFonts w:ascii="Times New Roman" w:hAnsi="Times New Roman" w:cs="Times New Roman"/>
          <w:sz w:val="28"/>
          <w:szCs w:val="28"/>
        </w:rPr>
      </w:pPr>
    </w:p>
    <w:p w14:paraId="083CBD5A" w14:textId="1D38EB15" w:rsidR="00F02EF9" w:rsidRDefault="00F02EF9" w:rsidP="00F02EF9">
      <w:pPr>
        <w:spacing w:after="0" w:line="360" w:lineRule="auto"/>
        <w:ind w:firstLine="709"/>
        <w:rPr>
          <w:rFonts w:ascii="Times New Roman" w:hAnsi="Times New Roman" w:cs="Times New Roman"/>
          <w:sz w:val="28"/>
          <w:szCs w:val="28"/>
        </w:rPr>
      </w:pPr>
    </w:p>
    <w:p w14:paraId="2B9F3FC0" w14:textId="175D684B" w:rsidR="00F02EF9" w:rsidRDefault="00F02EF9" w:rsidP="00F02EF9">
      <w:pPr>
        <w:spacing w:after="0" w:line="360" w:lineRule="auto"/>
        <w:ind w:firstLine="709"/>
        <w:rPr>
          <w:rFonts w:ascii="Times New Roman" w:hAnsi="Times New Roman" w:cs="Times New Roman"/>
          <w:sz w:val="28"/>
          <w:szCs w:val="28"/>
        </w:rPr>
      </w:pPr>
    </w:p>
    <w:p w14:paraId="7576B9EB" w14:textId="66C760CF" w:rsidR="00F02EF9" w:rsidRDefault="00F02EF9" w:rsidP="00F02EF9">
      <w:pPr>
        <w:spacing w:after="0" w:line="360" w:lineRule="auto"/>
        <w:ind w:firstLine="709"/>
        <w:rPr>
          <w:rFonts w:ascii="Times New Roman" w:hAnsi="Times New Roman" w:cs="Times New Roman"/>
          <w:sz w:val="28"/>
          <w:szCs w:val="28"/>
        </w:rPr>
      </w:pPr>
    </w:p>
    <w:p w14:paraId="09D9C988" w14:textId="77777777" w:rsidR="00F02EF9" w:rsidRPr="00F02EF9" w:rsidRDefault="00F02EF9" w:rsidP="00F02EF9">
      <w:pPr>
        <w:spacing w:after="0" w:line="360" w:lineRule="auto"/>
        <w:ind w:firstLine="709"/>
        <w:rPr>
          <w:rFonts w:ascii="Times New Roman" w:hAnsi="Times New Roman" w:cs="Times New Roman"/>
          <w:sz w:val="28"/>
          <w:szCs w:val="28"/>
        </w:rPr>
      </w:pPr>
    </w:p>
    <w:p w14:paraId="10C61DDE" w14:textId="708E8033" w:rsidR="00F02EF9" w:rsidRDefault="00F02EF9" w:rsidP="00F02EF9">
      <w:pPr>
        <w:spacing w:after="0" w:line="360" w:lineRule="auto"/>
        <w:ind w:firstLine="709"/>
      </w:pPr>
    </w:p>
    <w:p w14:paraId="25D90D94" w14:textId="6E0EB98D" w:rsidR="00F02EF9" w:rsidRDefault="00F02EF9" w:rsidP="00F02EF9">
      <w:pPr>
        <w:spacing w:after="0" w:line="360" w:lineRule="auto"/>
        <w:ind w:firstLine="709"/>
      </w:pPr>
      <w:r w:rsidRPr="00F02EF9">
        <w:rPr>
          <w:rFonts w:ascii="Times New Roman" w:hAnsi="Times New Roman" w:cs="Times New Roman"/>
          <w:sz w:val="28"/>
          <w:szCs w:val="28"/>
        </w:rPr>
        <mc:AlternateContent>
          <mc:Choice Requires="wpg">
            <w:drawing>
              <wp:anchor distT="0" distB="0" distL="114300" distR="114300" simplePos="0" relativeHeight="251659264" behindDoc="0" locked="0" layoutInCell="1" allowOverlap="1" wp14:anchorId="45F13ED3" wp14:editId="5303EE02">
                <wp:simplePos x="0" y="0"/>
                <wp:positionH relativeFrom="column">
                  <wp:posOffset>0</wp:posOffset>
                </wp:positionH>
                <wp:positionV relativeFrom="paragraph">
                  <wp:posOffset>6985</wp:posOffset>
                </wp:positionV>
                <wp:extent cx="6233160" cy="6962775"/>
                <wp:effectExtent l="9525" t="7620" r="15240" b="2095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3160" cy="6962775"/>
                          <a:chOff x="0" y="0"/>
                          <a:chExt cx="5667375" cy="6353175"/>
                        </a:xfrm>
                      </wpg:grpSpPr>
                      <wps:wsp>
                        <wps:cNvPr id="9" name="Прямоугольник 8"/>
                        <wps:cNvSpPr>
                          <a:spLocks noChangeArrowheads="1"/>
                        </wps:cNvSpPr>
                        <wps:spPr bwMode="auto">
                          <a:xfrm>
                            <a:off x="1876425" y="5038725"/>
                            <a:ext cx="3343275" cy="40957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010A54C9" w14:textId="77777777" w:rsidR="00F02EF9" w:rsidRPr="009A0320" w:rsidRDefault="00F02EF9" w:rsidP="00F02EF9">
                              <w:pPr>
                                <w:jc w:val="center"/>
                              </w:pPr>
                              <w:r>
                                <w:t>Покупка ценных бумаг для инвестиционных целей или передачи</w:t>
                              </w:r>
                            </w:p>
                          </w:txbxContent>
                        </wps:txbx>
                        <wps:bodyPr rot="0" vert="horz" wrap="square" lIns="91440" tIns="45720" rIns="91440" bIns="45720" anchor="ctr" anchorCtr="0" upright="1">
                          <a:noAutofit/>
                        </wps:bodyPr>
                      </wps:wsp>
                      <wps:wsp>
                        <wps:cNvPr id="10" name="Прямоугольник 5"/>
                        <wps:cNvSpPr>
                          <a:spLocks noChangeArrowheads="1"/>
                        </wps:cNvSpPr>
                        <wps:spPr bwMode="auto">
                          <a:xfrm>
                            <a:off x="1828800" y="676275"/>
                            <a:ext cx="1914525" cy="342900"/>
                          </a:xfrm>
                          <a:prstGeom prst="rect">
                            <a:avLst/>
                          </a:prstGeom>
                          <a:solidFill>
                            <a:srgbClr val="FFFFFF"/>
                          </a:solidFill>
                          <a:ln w="25400" algn="ctr">
                            <a:solidFill>
                              <a:srgbClr val="000000"/>
                            </a:solidFill>
                            <a:miter lim="800000"/>
                            <a:headEnd/>
                            <a:tailEnd/>
                          </a:ln>
                        </wps:spPr>
                        <wps:txbx>
                          <w:txbxContent>
                            <w:p w14:paraId="0463524E" w14:textId="77777777" w:rsidR="00F02EF9" w:rsidRPr="009A0320" w:rsidRDefault="00F02EF9" w:rsidP="00F02EF9">
                              <w:pPr>
                                <w:jc w:val="center"/>
                              </w:pPr>
                            </w:p>
                          </w:txbxContent>
                        </wps:txbx>
                        <wps:bodyPr rot="0" vert="horz" wrap="square" lIns="91440" tIns="45720" rIns="91440" bIns="45720" anchor="ctr" anchorCtr="0" upright="1">
                          <a:noAutofit/>
                        </wps:bodyPr>
                      </wps:wsp>
                      <wps:wsp>
                        <wps:cNvPr id="11" name="Прямоугольник 1"/>
                        <wps:cNvSpPr>
                          <a:spLocks noChangeArrowheads="1"/>
                        </wps:cNvSpPr>
                        <wps:spPr bwMode="auto">
                          <a:xfrm>
                            <a:off x="9525" y="0"/>
                            <a:ext cx="5238750" cy="1104900"/>
                          </a:xfrm>
                          <a:prstGeom prst="rect">
                            <a:avLst/>
                          </a:prstGeom>
                          <a:gradFill rotWithShape="0">
                            <a:gsLst>
                              <a:gs pos="0">
                                <a:srgbClr val="C2D69B"/>
                              </a:gs>
                              <a:gs pos="50000">
                                <a:srgbClr val="EAF1DD"/>
                              </a:gs>
                              <a:gs pos="100000">
                                <a:srgbClr val="C2D69B"/>
                              </a:gs>
                            </a:gsLst>
                            <a:lin ang="189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14:paraId="71591F0D" w14:textId="77777777" w:rsidR="00F02EF9" w:rsidRPr="009A0320" w:rsidRDefault="00F02EF9" w:rsidP="00F02EF9">
                              <w:r w:rsidRPr="00A334F7">
                                <w:rPr>
                                  <w:b/>
                                </w:rPr>
                                <w:t>1 БЛОК:</w:t>
                              </w:r>
                              <w:r w:rsidRPr="009A0320">
                                <w:t xml:space="preserve"> </w:t>
                              </w:r>
                              <w:r>
                                <w:t>Участники рынка, выпускающие ценные бумаги- эмитенты</w:t>
                              </w:r>
                            </w:p>
                          </w:txbxContent>
                        </wps:txbx>
                        <wps:bodyPr rot="0" vert="horz" wrap="square" lIns="91440" tIns="45720" rIns="91440" bIns="45720" anchor="t" anchorCtr="0" upright="1">
                          <a:noAutofit/>
                        </wps:bodyPr>
                      </wps:wsp>
                      <wps:wsp>
                        <wps:cNvPr id="12" name="Прямоугольник 2"/>
                        <wps:cNvSpPr>
                          <a:spLocks noChangeArrowheads="1"/>
                        </wps:cNvSpPr>
                        <wps:spPr bwMode="auto">
                          <a:xfrm>
                            <a:off x="123825" y="609600"/>
                            <a:ext cx="1343025" cy="323850"/>
                          </a:xfrm>
                          <a:prstGeom prst="rect">
                            <a:avLst/>
                          </a:prstGeom>
                          <a:solidFill>
                            <a:srgbClr val="FFFFFF"/>
                          </a:solidFill>
                          <a:ln w="25400" algn="ctr">
                            <a:solidFill>
                              <a:srgbClr val="000000"/>
                            </a:solidFill>
                            <a:miter lim="800000"/>
                            <a:headEnd/>
                            <a:tailEnd/>
                          </a:ln>
                        </wps:spPr>
                        <wps:txbx>
                          <w:txbxContent>
                            <w:p w14:paraId="03091B36" w14:textId="77777777" w:rsidR="00F02EF9" w:rsidRPr="009A0320" w:rsidRDefault="00F02EF9" w:rsidP="00F02EF9">
                              <w:pPr>
                                <w:jc w:val="center"/>
                              </w:pPr>
                              <w:r>
                                <w:t>Государство</w:t>
                              </w:r>
                            </w:p>
                          </w:txbxContent>
                        </wps:txbx>
                        <wps:bodyPr rot="0" vert="horz" wrap="square" lIns="91440" tIns="45720" rIns="91440" bIns="45720" anchor="ctr" anchorCtr="0" upright="1">
                          <a:noAutofit/>
                        </wps:bodyPr>
                      </wps:wsp>
                      <wps:wsp>
                        <wps:cNvPr id="13" name="Прямоугольник 3"/>
                        <wps:cNvSpPr>
                          <a:spLocks noChangeArrowheads="1"/>
                        </wps:cNvSpPr>
                        <wps:spPr bwMode="auto">
                          <a:xfrm>
                            <a:off x="1771650" y="609600"/>
                            <a:ext cx="1914525" cy="342900"/>
                          </a:xfrm>
                          <a:prstGeom prst="rect">
                            <a:avLst/>
                          </a:prstGeom>
                          <a:solidFill>
                            <a:srgbClr val="FFFFFF"/>
                          </a:solidFill>
                          <a:ln w="25400" algn="ctr">
                            <a:solidFill>
                              <a:srgbClr val="000000"/>
                            </a:solidFill>
                            <a:miter lim="800000"/>
                            <a:headEnd/>
                            <a:tailEnd/>
                          </a:ln>
                        </wps:spPr>
                        <wps:txbx>
                          <w:txbxContent>
                            <w:p w14:paraId="0F65A6FC" w14:textId="77777777" w:rsidR="00F02EF9" w:rsidRPr="009A0320" w:rsidRDefault="00F02EF9" w:rsidP="00F02EF9">
                              <w:pPr>
                                <w:jc w:val="center"/>
                              </w:pPr>
                              <w:r>
                                <w:t xml:space="preserve">Коммерческие организации </w:t>
                              </w:r>
                            </w:p>
                          </w:txbxContent>
                        </wps:txbx>
                        <wps:bodyPr rot="0" vert="horz" wrap="square" lIns="91440" tIns="45720" rIns="91440" bIns="45720" anchor="ctr" anchorCtr="0" upright="1">
                          <a:noAutofit/>
                        </wps:bodyPr>
                      </wps:wsp>
                      <wps:wsp>
                        <wps:cNvPr id="14" name="Прямоугольник 4"/>
                        <wps:cNvSpPr>
                          <a:spLocks noChangeArrowheads="1"/>
                        </wps:cNvSpPr>
                        <wps:spPr bwMode="auto">
                          <a:xfrm>
                            <a:off x="4048125" y="1743075"/>
                            <a:ext cx="1619250" cy="3295650"/>
                          </a:xfrm>
                          <a:prstGeom prst="rect">
                            <a:avLst/>
                          </a:prstGeom>
                          <a:gradFill rotWithShape="0">
                            <a:gsLst>
                              <a:gs pos="0">
                                <a:srgbClr val="FABF8F"/>
                              </a:gs>
                              <a:gs pos="50000">
                                <a:srgbClr val="FDE9D9"/>
                              </a:gs>
                              <a:gs pos="100000">
                                <a:srgbClr val="FABF8F"/>
                              </a:gs>
                            </a:gsLst>
                            <a:lin ang="18900000" scaled="1"/>
                          </a:gradFill>
                          <a:ln w="12700" algn="ctr">
                            <a:solidFill>
                              <a:srgbClr val="FABF8F"/>
                            </a:solidFill>
                            <a:miter lim="800000"/>
                            <a:headEnd/>
                            <a:tailEnd/>
                          </a:ln>
                          <a:effectLst>
                            <a:outerShdw dist="28398" dir="3806097" algn="ctr" rotWithShape="0">
                              <a:srgbClr val="974706">
                                <a:alpha val="50000"/>
                              </a:srgbClr>
                            </a:outerShdw>
                          </a:effectLst>
                        </wps:spPr>
                        <wps:txbx>
                          <w:txbxContent>
                            <w:p w14:paraId="49C3C626" w14:textId="77777777" w:rsidR="00F02EF9" w:rsidRPr="00A334F7" w:rsidRDefault="00F02EF9" w:rsidP="00F02EF9">
                              <w:pPr>
                                <w:jc w:val="center"/>
                                <w:rPr>
                                  <w:b/>
                                </w:rPr>
                              </w:pPr>
                              <w:r w:rsidRPr="00A334F7">
                                <w:rPr>
                                  <w:b/>
                                </w:rPr>
                                <w:t>5 БЛОК:</w:t>
                              </w:r>
                            </w:p>
                            <w:p w14:paraId="76957DE9" w14:textId="77777777" w:rsidR="00F02EF9" w:rsidRDefault="00F02EF9" w:rsidP="00F02EF9">
                              <w:pPr>
                                <w:jc w:val="center"/>
                              </w:pPr>
                            </w:p>
                            <w:p w14:paraId="600C593D" w14:textId="77777777" w:rsidR="00F02EF9" w:rsidRDefault="00F02EF9" w:rsidP="00F02EF9">
                              <w:pPr>
                                <w:jc w:val="center"/>
                              </w:pPr>
                            </w:p>
                            <w:p w14:paraId="54C87444" w14:textId="77777777" w:rsidR="00F02EF9" w:rsidRDefault="00F02EF9" w:rsidP="00F02EF9">
                              <w:pPr>
                                <w:jc w:val="center"/>
                              </w:pPr>
                            </w:p>
                            <w:p w14:paraId="29213F41" w14:textId="77777777" w:rsidR="00F02EF9" w:rsidRPr="002D1680" w:rsidRDefault="00F02EF9" w:rsidP="00F02EF9">
                              <w:pPr>
                                <w:jc w:val="center"/>
                                <w:rPr>
                                  <w:u w:val="single"/>
                                </w:rPr>
                              </w:pPr>
                              <w:r w:rsidRPr="002D1680">
                                <w:rPr>
                                  <w:u w:val="single"/>
                                </w:rPr>
                                <w:t>РЕГУЛЯТОР</w:t>
                              </w:r>
                            </w:p>
                            <w:p w14:paraId="7B845F53" w14:textId="77777777" w:rsidR="00F02EF9" w:rsidRDefault="00F02EF9" w:rsidP="00F02EF9">
                              <w:pPr>
                                <w:jc w:val="center"/>
                                <w:rPr>
                                  <w:sz w:val="40"/>
                                </w:rPr>
                              </w:pPr>
                              <w:r w:rsidRPr="002D1680">
                                <w:rPr>
                                  <w:sz w:val="40"/>
                                </w:rPr>
                                <w:t>ЦБ РФ</w:t>
                              </w:r>
                            </w:p>
                            <w:p w14:paraId="2049F4A1" w14:textId="77777777" w:rsidR="00F02EF9" w:rsidRPr="002D1680" w:rsidRDefault="00F02EF9" w:rsidP="00F02EF9">
                              <w:pPr>
                                <w:jc w:val="center"/>
                                <w:rPr>
                                  <w:sz w:val="28"/>
                                </w:rPr>
                              </w:pPr>
                              <w:r>
                                <w:rPr>
                                  <w:sz w:val="28"/>
                                </w:rPr>
                                <w:t>(ЦЕНТРАЛЬН</w:t>
                              </w:r>
                              <w:r w:rsidRPr="002D1680">
                                <w:rPr>
                                  <w:sz w:val="28"/>
                                </w:rPr>
                                <w:t>Ы</w:t>
                              </w:r>
                              <w:r>
                                <w:rPr>
                                  <w:sz w:val="28"/>
                                </w:rPr>
                                <w:t>Й</w:t>
                              </w:r>
                              <w:r w:rsidRPr="002D1680">
                                <w:rPr>
                                  <w:sz w:val="28"/>
                                </w:rPr>
                                <w:t xml:space="preserve"> БАНК РОССИЙСКОЙ ФЕДЕРАЦИИ)</w:t>
                              </w:r>
                            </w:p>
                          </w:txbxContent>
                        </wps:txbx>
                        <wps:bodyPr rot="0" vert="horz" wrap="square" lIns="91440" tIns="45720" rIns="91440" bIns="45720" anchor="t" anchorCtr="0" upright="1">
                          <a:noAutofit/>
                        </wps:bodyPr>
                      </wps:wsp>
                      <wps:wsp>
                        <wps:cNvPr id="15" name="Прямоугольник 6"/>
                        <wps:cNvSpPr>
                          <a:spLocks noChangeArrowheads="1"/>
                        </wps:cNvSpPr>
                        <wps:spPr bwMode="auto">
                          <a:xfrm>
                            <a:off x="9525" y="1743075"/>
                            <a:ext cx="3971925" cy="2038350"/>
                          </a:xfrm>
                          <a:prstGeom prst="rect">
                            <a:avLst/>
                          </a:prstGeom>
                          <a:gradFill rotWithShape="0">
                            <a:gsLst>
                              <a:gs pos="0">
                                <a:srgbClr val="C2D69B"/>
                              </a:gs>
                              <a:gs pos="50000">
                                <a:srgbClr val="EAF1DD"/>
                              </a:gs>
                              <a:gs pos="100000">
                                <a:srgbClr val="C2D69B"/>
                              </a:gs>
                            </a:gsLst>
                            <a:lin ang="189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14:paraId="503A9988" w14:textId="77777777" w:rsidR="00F02EF9" w:rsidRPr="00023699" w:rsidRDefault="00F02EF9" w:rsidP="00F02EF9">
                              <w:r w:rsidRPr="00A334F7">
                                <w:rPr>
                                  <w:b/>
                                </w:rPr>
                                <w:t>2 БЛОК:</w:t>
                              </w:r>
                              <w:r>
                                <w:t xml:space="preserve"> Участники, рынка организующие обращение ценных бумаг </w:t>
                              </w:r>
                            </w:p>
                          </w:txbxContent>
                        </wps:txbx>
                        <wps:bodyPr rot="0" vert="horz" wrap="square" lIns="91440" tIns="45720" rIns="91440" bIns="45720" anchor="t" anchorCtr="0" upright="1">
                          <a:noAutofit/>
                        </wps:bodyPr>
                      </wps:wsp>
                      <wps:wsp>
                        <wps:cNvPr id="16" name="Прямоугольник 7"/>
                        <wps:cNvSpPr>
                          <a:spLocks noChangeArrowheads="1"/>
                        </wps:cNvSpPr>
                        <wps:spPr bwMode="auto">
                          <a:xfrm>
                            <a:off x="4381500" y="1104900"/>
                            <a:ext cx="1000125" cy="638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Lst>
                        </wps:spPr>
                        <wps:txbx>
                          <w:txbxContent>
                            <w:p w14:paraId="7320D676" w14:textId="77777777" w:rsidR="00F02EF9" w:rsidRPr="00A334F7" w:rsidRDefault="00F02EF9" w:rsidP="00F02EF9">
                              <w:pPr>
                                <w:jc w:val="center"/>
                              </w:pPr>
                              <w:r w:rsidRPr="00A334F7">
                                <w:t>Стандарты, регламенты, нормы</w:t>
                              </w:r>
                            </w:p>
                          </w:txbxContent>
                        </wps:txbx>
                        <wps:bodyPr rot="0" vert="horz" wrap="square" lIns="91440" tIns="45720" rIns="91440" bIns="45720" anchor="ctr" anchorCtr="0" upright="1">
                          <a:noAutofit/>
                        </wps:bodyPr>
                      </wps:wsp>
                      <wps:wsp>
                        <wps:cNvPr id="17" name="Прямоугольник 9"/>
                        <wps:cNvSpPr>
                          <a:spLocks noChangeArrowheads="1"/>
                        </wps:cNvSpPr>
                        <wps:spPr bwMode="auto">
                          <a:xfrm>
                            <a:off x="9525" y="2133600"/>
                            <a:ext cx="1866900" cy="1400175"/>
                          </a:xfrm>
                          <a:prstGeom prst="rect">
                            <a:avLst/>
                          </a:prstGeom>
                          <a:solidFill>
                            <a:srgbClr val="FFFFFF"/>
                          </a:solidFill>
                          <a:ln w="25400" algn="ctr">
                            <a:solidFill>
                              <a:srgbClr val="000000"/>
                            </a:solidFill>
                            <a:miter lim="800000"/>
                            <a:headEnd/>
                            <a:tailEnd/>
                          </a:ln>
                        </wps:spPr>
                        <wps:txbx>
                          <w:txbxContent>
                            <w:p w14:paraId="4DD067D3" w14:textId="77777777" w:rsidR="00F02EF9" w:rsidRDefault="00F02EF9" w:rsidP="00F02EF9">
                              <w:pPr>
                                <w:jc w:val="both"/>
                                <w:rPr>
                                  <w:sz w:val="20"/>
                                  <w:szCs w:val="20"/>
                                </w:rPr>
                              </w:pPr>
                              <w:r w:rsidRPr="00023699">
                                <w:rPr>
                                  <w:b/>
                                  <w:sz w:val="20"/>
                                  <w:szCs w:val="20"/>
                                </w:rPr>
                                <w:t>Биржа</w:t>
                              </w:r>
                              <w:r>
                                <w:rPr>
                                  <w:b/>
                                  <w:sz w:val="20"/>
                                  <w:szCs w:val="20"/>
                                </w:rPr>
                                <w:t xml:space="preserve"> </w:t>
                              </w:r>
                              <w:r>
                                <w:rPr>
                                  <w:sz w:val="20"/>
                                  <w:szCs w:val="20"/>
                                </w:rPr>
                                <w:t>- площадка для торговли ценными бумагами и инвестиционными активами</w:t>
                              </w:r>
                            </w:p>
                            <w:p w14:paraId="4F2BE657" w14:textId="77777777" w:rsidR="00F02EF9" w:rsidRDefault="00F02EF9" w:rsidP="00F02EF9">
                              <w:pPr>
                                <w:jc w:val="both"/>
                                <w:rPr>
                                  <w:sz w:val="20"/>
                                  <w:szCs w:val="20"/>
                                </w:rPr>
                              </w:pPr>
                              <w:r w:rsidRPr="00023699">
                                <w:rPr>
                                  <w:b/>
                                  <w:sz w:val="20"/>
                                  <w:szCs w:val="20"/>
                                </w:rPr>
                                <w:t>Депозитарий</w:t>
                              </w:r>
                              <w:r>
                                <w:rPr>
                                  <w:b/>
                                  <w:sz w:val="20"/>
                                  <w:szCs w:val="20"/>
                                </w:rPr>
                                <w:t xml:space="preserve"> </w:t>
                              </w:r>
                              <w:r>
                                <w:rPr>
                                  <w:sz w:val="20"/>
                                  <w:szCs w:val="20"/>
                                </w:rPr>
                                <w:t>- организация, которая ведет независимый учет и хранение ценных бумаг</w:t>
                              </w:r>
                            </w:p>
                            <w:p w14:paraId="62306587" w14:textId="77777777" w:rsidR="00F02EF9" w:rsidRPr="00023699" w:rsidRDefault="00F02EF9" w:rsidP="00F02EF9">
                              <w:pPr>
                                <w:jc w:val="both"/>
                                <w:rPr>
                                  <w:sz w:val="20"/>
                                  <w:szCs w:val="20"/>
                                </w:rPr>
                              </w:pPr>
                              <w:r w:rsidRPr="00023699">
                                <w:rPr>
                                  <w:b/>
                                  <w:sz w:val="20"/>
                                  <w:szCs w:val="20"/>
                                </w:rPr>
                                <w:t>Клиринг</w:t>
                              </w:r>
                              <w:r>
                                <w:rPr>
                                  <w:b/>
                                  <w:sz w:val="20"/>
                                  <w:szCs w:val="20"/>
                                </w:rPr>
                                <w:t xml:space="preserve"> </w:t>
                              </w:r>
                              <w:r>
                                <w:rPr>
                                  <w:sz w:val="20"/>
                                  <w:szCs w:val="20"/>
                                </w:rPr>
                                <w:t xml:space="preserve">- контроль и осуществление расчетов между участками биржи </w:t>
                              </w:r>
                            </w:p>
                          </w:txbxContent>
                        </wps:txbx>
                        <wps:bodyPr rot="0" vert="horz" wrap="square" lIns="91440" tIns="45720" rIns="91440" bIns="45720" anchor="t" anchorCtr="0" upright="1">
                          <a:noAutofit/>
                        </wps:bodyPr>
                      </wps:wsp>
                      <wps:wsp>
                        <wps:cNvPr id="18" name="Прямоугольник 10"/>
                        <wps:cNvSpPr>
                          <a:spLocks noChangeArrowheads="1"/>
                        </wps:cNvSpPr>
                        <wps:spPr bwMode="auto">
                          <a:xfrm>
                            <a:off x="1981200" y="2133600"/>
                            <a:ext cx="647700" cy="342900"/>
                          </a:xfrm>
                          <a:prstGeom prst="rect">
                            <a:avLst/>
                          </a:prstGeom>
                          <a:solidFill>
                            <a:srgbClr val="FFFFFF"/>
                          </a:solidFill>
                          <a:ln w="25400" algn="ctr">
                            <a:solidFill>
                              <a:srgbClr val="000000"/>
                            </a:solidFill>
                            <a:miter lim="800000"/>
                            <a:headEnd/>
                            <a:tailEnd/>
                          </a:ln>
                        </wps:spPr>
                        <wps:txbx>
                          <w:txbxContent>
                            <w:p w14:paraId="75B3E8A5" w14:textId="77777777" w:rsidR="00F02EF9" w:rsidRPr="00013D78" w:rsidRDefault="00F02EF9" w:rsidP="00F02EF9">
                              <w:pPr>
                                <w:jc w:val="center"/>
                              </w:pPr>
                              <w:r w:rsidRPr="00013D78">
                                <w:rPr>
                                  <w:b/>
                                  <w:szCs w:val="20"/>
                                </w:rPr>
                                <w:t>Биржа</w:t>
                              </w:r>
                            </w:p>
                          </w:txbxContent>
                        </wps:txbx>
                        <wps:bodyPr rot="0" vert="horz" wrap="square" lIns="91440" tIns="45720" rIns="91440" bIns="45720" anchor="ctr" anchorCtr="0" upright="1">
                          <a:noAutofit/>
                        </wps:bodyPr>
                      </wps:wsp>
                      <wps:wsp>
                        <wps:cNvPr id="19" name="Прямоугольник 11"/>
                        <wps:cNvSpPr>
                          <a:spLocks noChangeArrowheads="1"/>
                        </wps:cNvSpPr>
                        <wps:spPr bwMode="auto">
                          <a:xfrm>
                            <a:off x="1981200" y="2543175"/>
                            <a:ext cx="1019175" cy="342900"/>
                          </a:xfrm>
                          <a:prstGeom prst="rect">
                            <a:avLst/>
                          </a:prstGeom>
                          <a:solidFill>
                            <a:srgbClr val="FFFFFF"/>
                          </a:solidFill>
                          <a:ln w="25400" algn="ctr">
                            <a:solidFill>
                              <a:srgbClr val="000000"/>
                            </a:solidFill>
                            <a:miter lim="800000"/>
                            <a:headEnd/>
                            <a:tailEnd/>
                          </a:ln>
                        </wps:spPr>
                        <wps:txbx>
                          <w:txbxContent>
                            <w:p w14:paraId="11F104C5" w14:textId="77777777" w:rsidR="00F02EF9" w:rsidRPr="00013D78" w:rsidRDefault="00F02EF9" w:rsidP="00F02EF9">
                              <w:pPr>
                                <w:jc w:val="center"/>
                              </w:pPr>
                              <w:r w:rsidRPr="00013D78">
                                <w:rPr>
                                  <w:b/>
                                  <w:szCs w:val="20"/>
                                </w:rPr>
                                <w:t>Депозитарий</w:t>
                              </w:r>
                            </w:p>
                          </w:txbxContent>
                        </wps:txbx>
                        <wps:bodyPr rot="0" vert="horz" wrap="square" lIns="91440" tIns="45720" rIns="91440" bIns="45720" anchor="ctr" anchorCtr="0" upright="1">
                          <a:noAutofit/>
                        </wps:bodyPr>
                      </wps:wsp>
                      <wps:wsp>
                        <wps:cNvPr id="20" name="Прямоугольник 14"/>
                        <wps:cNvSpPr>
                          <a:spLocks noChangeArrowheads="1"/>
                        </wps:cNvSpPr>
                        <wps:spPr bwMode="auto">
                          <a:xfrm>
                            <a:off x="9525" y="3933825"/>
                            <a:ext cx="3971925" cy="1104900"/>
                          </a:xfrm>
                          <a:prstGeom prst="rect">
                            <a:avLst/>
                          </a:prstGeom>
                          <a:gradFill rotWithShape="0">
                            <a:gsLst>
                              <a:gs pos="0">
                                <a:srgbClr val="C2D69B"/>
                              </a:gs>
                              <a:gs pos="50000">
                                <a:srgbClr val="EAF1DD"/>
                              </a:gs>
                              <a:gs pos="100000">
                                <a:srgbClr val="C2D69B"/>
                              </a:gs>
                            </a:gsLst>
                            <a:lin ang="189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14:paraId="6650B2BC" w14:textId="77777777" w:rsidR="00F02EF9" w:rsidRPr="00013D78" w:rsidRDefault="00F02EF9" w:rsidP="00F02EF9">
                              <w:r w:rsidRPr="00A334F7">
                                <w:rPr>
                                  <w:b/>
                                </w:rPr>
                                <w:t>3 БЛОК:</w:t>
                              </w:r>
                              <w:r>
                                <w:t xml:space="preserve"> Участники, организующие доступ к фондовому рынку </w:t>
                              </w:r>
                            </w:p>
                          </w:txbxContent>
                        </wps:txbx>
                        <wps:bodyPr rot="0" vert="horz" wrap="square" lIns="91440" tIns="45720" rIns="91440" bIns="45720" anchor="t" anchorCtr="0" upright="1">
                          <a:noAutofit/>
                        </wps:bodyPr>
                      </wps:wsp>
                      <wps:wsp>
                        <wps:cNvPr id="21" name="Прямоугольник 15"/>
                        <wps:cNvSpPr>
                          <a:spLocks noChangeArrowheads="1"/>
                        </wps:cNvSpPr>
                        <wps:spPr bwMode="auto">
                          <a:xfrm>
                            <a:off x="104775" y="4533900"/>
                            <a:ext cx="1047750" cy="342900"/>
                          </a:xfrm>
                          <a:prstGeom prst="rect">
                            <a:avLst/>
                          </a:prstGeom>
                          <a:solidFill>
                            <a:srgbClr val="FFFFFF"/>
                          </a:solidFill>
                          <a:ln w="25400" algn="ctr">
                            <a:solidFill>
                              <a:srgbClr val="000000"/>
                            </a:solidFill>
                            <a:miter lim="800000"/>
                            <a:headEnd/>
                            <a:tailEnd/>
                          </a:ln>
                        </wps:spPr>
                        <wps:txbx>
                          <w:txbxContent>
                            <w:p w14:paraId="40E5C6D7" w14:textId="77777777" w:rsidR="00F02EF9" w:rsidRPr="009A0320" w:rsidRDefault="00F02EF9" w:rsidP="00F02EF9">
                              <w:pPr>
                                <w:jc w:val="center"/>
                              </w:pPr>
                              <w:r>
                                <w:t xml:space="preserve">Брокеры </w:t>
                              </w:r>
                            </w:p>
                          </w:txbxContent>
                        </wps:txbx>
                        <wps:bodyPr rot="0" vert="horz" wrap="square" lIns="91440" tIns="45720" rIns="91440" bIns="45720" anchor="ctr" anchorCtr="0" upright="1">
                          <a:noAutofit/>
                        </wps:bodyPr>
                      </wps:wsp>
                      <wps:wsp>
                        <wps:cNvPr id="22" name="Прямоугольник 16"/>
                        <wps:cNvSpPr>
                          <a:spLocks noChangeArrowheads="1"/>
                        </wps:cNvSpPr>
                        <wps:spPr bwMode="auto">
                          <a:xfrm>
                            <a:off x="1304925" y="4543425"/>
                            <a:ext cx="1047750" cy="342900"/>
                          </a:xfrm>
                          <a:prstGeom prst="rect">
                            <a:avLst/>
                          </a:prstGeom>
                          <a:solidFill>
                            <a:srgbClr val="FFFFFF"/>
                          </a:solidFill>
                          <a:ln w="25400" algn="ctr">
                            <a:solidFill>
                              <a:srgbClr val="000000"/>
                            </a:solidFill>
                            <a:miter lim="800000"/>
                            <a:headEnd/>
                            <a:tailEnd/>
                          </a:ln>
                        </wps:spPr>
                        <wps:txbx>
                          <w:txbxContent>
                            <w:p w14:paraId="4A09F933" w14:textId="77777777" w:rsidR="00F02EF9" w:rsidRPr="009A0320" w:rsidRDefault="00F02EF9" w:rsidP="00F02EF9">
                              <w:pPr>
                                <w:jc w:val="center"/>
                              </w:pPr>
                              <w:r>
                                <w:t xml:space="preserve">Дилеры </w:t>
                              </w:r>
                            </w:p>
                          </w:txbxContent>
                        </wps:txbx>
                        <wps:bodyPr rot="0" vert="horz" wrap="square" lIns="91440" tIns="45720" rIns="91440" bIns="45720" anchor="ctr" anchorCtr="0" upright="1">
                          <a:noAutofit/>
                        </wps:bodyPr>
                      </wps:wsp>
                      <wps:wsp>
                        <wps:cNvPr id="23" name="Прямоугольник 18"/>
                        <wps:cNvSpPr>
                          <a:spLocks noChangeArrowheads="1"/>
                        </wps:cNvSpPr>
                        <wps:spPr bwMode="auto">
                          <a:xfrm>
                            <a:off x="2543175" y="4543425"/>
                            <a:ext cx="1285875" cy="342900"/>
                          </a:xfrm>
                          <a:prstGeom prst="rect">
                            <a:avLst/>
                          </a:prstGeom>
                          <a:solidFill>
                            <a:srgbClr val="FFFFFF"/>
                          </a:solidFill>
                          <a:ln w="25400" algn="ctr">
                            <a:solidFill>
                              <a:srgbClr val="000000"/>
                            </a:solidFill>
                            <a:miter lim="800000"/>
                            <a:headEnd/>
                            <a:tailEnd/>
                          </a:ln>
                        </wps:spPr>
                        <wps:txbx>
                          <w:txbxContent>
                            <w:p w14:paraId="7BAA0439" w14:textId="77777777" w:rsidR="00F02EF9" w:rsidRPr="009A0320" w:rsidRDefault="00F02EF9" w:rsidP="00F02EF9">
                              <w:pPr>
                                <w:jc w:val="center"/>
                              </w:pPr>
                              <w:proofErr w:type="gramStart"/>
                              <w:r>
                                <w:t>Управляющие</w:t>
                              </w:r>
                              <w:proofErr w:type="gramEnd"/>
                              <w:r>
                                <w:t xml:space="preserve"> Ко</w:t>
                              </w:r>
                            </w:p>
                          </w:txbxContent>
                        </wps:txbx>
                        <wps:bodyPr rot="0" vert="horz" wrap="square" lIns="91440" tIns="45720" rIns="91440" bIns="45720" anchor="ctr" anchorCtr="0" upright="1">
                          <a:noAutofit/>
                        </wps:bodyPr>
                      </wps:wsp>
                      <wps:wsp>
                        <wps:cNvPr id="24" name="Прямоугольник 19"/>
                        <wps:cNvSpPr>
                          <a:spLocks noChangeArrowheads="1"/>
                        </wps:cNvSpPr>
                        <wps:spPr bwMode="auto">
                          <a:xfrm>
                            <a:off x="0" y="5448300"/>
                            <a:ext cx="5238750" cy="904875"/>
                          </a:xfrm>
                          <a:prstGeom prst="rect">
                            <a:avLst/>
                          </a:prstGeom>
                          <a:gradFill rotWithShape="0">
                            <a:gsLst>
                              <a:gs pos="0">
                                <a:srgbClr val="C2D69B"/>
                              </a:gs>
                              <a:gs pos="50000">
                                <a:srgbClr val="EAF1DD"/>
                              </a:gs>
                              <a:gs pos="100000">
                                <a:srgbClr val="C2D69B"/>
                              </a:gs>
                            </a:gsLst>
                            <a:lin ang="18900000" scaled="1"/>
                          </a:gradFill>
                          <a:ln w="12700" algn="ctr">
                            <a:solidFill>
                              <a:srgbClr val="C2D69B"/>
                            </a:solidFill>
                            <a:miter lim="800000"/>
                            <a:headEnd/>
                            <a:tailEnd/>
                          </a:ln>
                          <a:effectLst>
                            <a:outerShdw dist="28398" dir="3806097" algn="ctr" rotWithShape="0">
                              <a:srgbClr val="4E6128">
                                <a:alpha val="50000"/>
                              </a:srgbClr>
                            </a:outerShdw>
                          </a:effectLst>
                        </wps:spPr>
                        <wps:txbx>
                          <w:txbxContent>
                            <w:p w14:paraId="4470F1B9" w14:textId="77777777" w:rsidR="00F02EF9" w:rsidRDefault="00F02EF9" w:rsidP="00F02EF9">
                              <w:pPr>
                                <w:jc w:val="both"/>
                              </w:pPr>
                              <w:r w:rsidRPr="00A334F7">
                                <w:rPr>
                                  <w:b/>
                                </w:rPr>
                                <w:t>4 БЛОК:</w:t>
                              </w:r>
                              <w:r>
                                <w:t xml:space="preserve"> участники рынка, приобретающие ценные бумаги – инвесторы, инвестиционные фонды, трейдеры.</w:t>
                              </w:r>
                            </w:p>
                            <w:p w14:paraId="3BF61927" w14:textId="77777777" w:rsidR="00F02EF9" w:rsidRDefault="00F02EF9" w:rsidP="00F02EF9"/>
                            <w:p w14:paraId="6B2FC9ED" w14:textId="77777777" w:rsidR="00F02EF9" w:rsidRPr="002D1680" w:rsidRDefault="00F02EF9" w:rsidP="00F02EF9"/>
                          </w:txbxContent>
                        </wps:txbx>
                        <wps:bodyPr rot="0" vert="horz" wrap="square" lIns="91440" tIns="45720" rIns="91440" bIns="45720" anchor="t" anchorCtr="0" upright="1">
                          <a:noAutofit/>
                        </wps:bodyPr>
                      </wps:wsp>
                      <wps:wsp>
                        <wps:cNvPr id="25" name="Прямоугольник 22"/>
                        <wps:cNvSpPr>
                          <a:spLocks noChangeArrowheads="1"/>
                        </wps:cNvSpPr>
                        <wps:spPr bwMode="auto">
                          <a:xfrm>
                            <a:off x="66675" y="5943600"/>
                            <a:ext cx="1476375" cy="333375"/>
                          </a:xfrm>
                          <a:prstGeom prst="rect">
                            <a:avLst/>
                          </a:prstGeom>
                          <a:solidFill>
                            <a:srgbClr val="FFFFFF"/>
                          </a:solidFill>
                          <a:ln w="25400" algn="ctr">
                            <a:solidFill>
                              <a:srgbClr val="000000"/>
                            </a:solidFill>
                            <a:miter lim="800000"/>
                            <a:headEnd/>
                            <a:tailEnd/>
                          </a:ln>
                        </wps:spPr>
                        <wps:txbx>
                          <w:txbxContent>
                            <w:p w14:paraId="2362845B" w14:textId="77777777" w:rsidR="00F02EF9" w:rsidRPr="009A0320" w:rsidRDefault="00F02EF9" w:rsidP="00F02EF9">
                              <w:pPr>
                                <w:jc w:val="center"/>
                              </w:pPr>
                              <w:r>
                                <w:t xml:space="preserve">Государство </w:t>
                              </w:r>
                            </w:p>
                          </w:txbxContent>
                        </wps:txbx>
                        <wps:bodyPr rot="0" vert="horz" wrap="square" lIns="91440" tIns="45720" rIns="91440" bIns="45720" anchor="ctr" anchorCtr="0" upright="1">
                          <a:noAutofit/>
                        </wps:bodyPr>
                      </wps:wsp>
                      <wps:wsp>
                        <wps:cNvPr id="26" name="Прямоугольник 24"/>
                        <wps:cNvSpPr>
                          <a:spLocks noChangeArrowheads="1"/>
                        </wps:cNvSpPr>
                        <wps:spPr bwMode="auto">
                          <a:xfrm>
                            <a:off x="1600200" y="5943600"/>
                            <a:ext cx="1914525" cy="342900"/>
                          </a:xfrm>
                          <a:prstGeom prst="rect">
                            <a:avLst/>
                          </a:prstGeom>
                          <a:solidFill>
                            <a:srgbClr val="FFFFFF"/>
                          </a:solidFill>
                          <a:ln w="25400" algn="ctr">
                            <a:solidFill>
                              <a:srgbClr val="000000"/>
                            </a:solidFill>
                            <a:miter lim="800000"/>
                            <a:headEnd/>
                            <a:tailEnd/>
                          </a:ln>
                        </wps:spPr>
                        <wps:txbx>
                          <w:txbxContent>
                            <w:p w14:paraId="157C6942" w14:textId="77777777" w:rsidR="00F02EF9" w:rsidRPr="009A0320" w:rsidRDefault="00F02EF9" w:rsidP="00F02EF9">
                              <w:pPr>
                                <w:jc w:val="center"/>
                              </w:pPr>
                              <w:r>
                                <w:t xml:space="preserve">Коммерческие организации </w:t>
                              </w:r>
                            </w:p>
                          </w:txbxContent>
                        </wps:txbx>
                        <wps:bodyPr rot="0" vert="horz" wrap="square" lIns="91440" tIns="45720" rIns="91440" bIns="45720" anchor="ctr" anchorCtr="0" upright="1">
                          <a:noAutofit/>
                        </wps:bodyPr>
                      </wps:wsp>
                      <wps:wsp>
                        <wps:cNvPr id="27" name="Прямоугольник 25"/>
                        <wps:cNvSpPr>
                          <a:spLocks noChangeArrowheads="1"/>
                        </wps:cNvSpPr>
                        <wps:spPr bwMode="auto">
                          <a:xfrm>
                            <a:off x="3581400" y="5934075"/>
                            <a:ext cx="1533525" cy="342900"/>
                          </a:xfrm>
                          <a:prstGeom prst="rect">
                            <a:avLst/>
                          </a:prstGeom>
                          <a:solidFill>
                            <a:srgbClr val="FFFFFF"/>
                          </a:solidFill>
                          <a:ln w="25400" algn="ctr">
                            <a:solidFill>
                              <a:srgbClr val="000000"/>
                            </a:solidFill>
                            <a:miter lim="800000"/>
                            <a:headEnd/>
                            <a:tailEnd/>
                          </a:ln>
                        </wps:spPr>
                        <wps:txbx>
                          <w:txbxContent>
                            <w:p w14:paraId="60DEC66B" w14:textId="77777777" w:rsidR="00F02EF9" w:rsidRPr="009A0320" w:rsidRDefault="00F02EF9" w:rsidP="00F02EF9">
                              <w:pPr>
                                <w:jc w:val="center"/>
                              </w:pPr>
                              <w:r>
                                <w:t xml:space="preserve">Население </w:t>
                              </w:r>
                            </w:p>
                          </w:txbxContent>
                        </wps:txbx>
                        <wps:bodyPr rot="0" vert="horz" wrap="square" lIns="91440" tIns="45720" rIns="91440" bIns="45720" anchor="ctr" anchorCtr="0" upright="1">
                          <a:noAutofit/>
                        </wps:bodyPr>
                      </wps:wsp>
                      <wps:wsp>
                        <wps:cNvPr id="28" name="Прямоугольник 13"/>
                        <wps:cNvSpPr>
                          <a:spLocks noChangeArrowheads="1"/>
                        </wps:cNvSpPr>
                        <wps:spPr bwMode="auto">
                          <a:xfrm>
                            <a:off x="2867025" y="3295650"/>
                            <a:ext cx="1047750" cy="48577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5D6ECE9C" w14:textId="77777777" w:rsidR="00F02EF9" w:rsidRPr="00013D78" w:rsidRDefault="00F02EF9" w:rsidP="00F02EF9">
                              <w:pPr>
                                <w:jc w:val="center"/>
                                <w:rPr>
                                  <w:sz w:val="18"/>
                                </w:rPr>
                              </w:pPr>
                              <w:r w:rsidRPr="00013D78">
                                <w:rPr>
                                  <w:sz w:val="18"/>
                                </w:rPr>
                                <w:t>Лицензирован</w:t>
                              </w:r>
                              <w:r>
                                <w:rPr>
                                  <w:sz w:val="18"/>
                                </w:rPr>
                                <w:t>ие и контроль</w:t>
                              </w:r>
                              <w:r w:rsidRPr="00013D78">
                                <w:rPr>
                                  <w:sz w:val="18"/>
                                </w:rPr>
                                <w:t xml:space="preserve"> деятельности</w:t>
                              </w:r>
                            </w:p>
                          </w:txbxContent>
                        </wps:txbx>
                        <wps:bodyPr rot="0" vert="horz" wrap="square" lIns="91440" tIns="45720" rIns="91440" bIns="45720" anchor="ctr" anchorCtr="0" upright="1">
                          <a:noAutofit/>
                        </wps:bodyPr>
                      </wps:wsp>
                      <wps:wsp>
                        <wps:cNvPr id="29" name="Прямоугольник 12"/>
                        <wps:cNvSpPr>
                          <a:spLocks noChangeArrowheads="1"/>
                        </wps:cNvSpPr>
                        <wps:spPr bwMode="auto">
                          <a:xfrm>
                            <a:off x="1981200" y="2952750"/>
                            <a:ext cx="1266825" cy="342900"/>
                          </a:xfrm>
                          <a:prstGeom prst="rect">
                            <a:avLst/>
                          </a:prstGeom>
                          <a:solidFill>
                            <a:srgbClr val="FFFFFF"/>
                          </a:solidFill>
                          <a:ln w="25400" algn="ctr">
                            <a:solidFill>
                              <a:srgbClr val="000000"/>
                            </a:solidFill>
                            <a:miter lim="800000"/>
                            <a:headEnd/>
                            <a:tailEnd/>
                          </a:ln>
                        </wps:spPr>
                        <wps:txbx>
                          <w:txbxContent>
                            <w:p w14:paraId="7EF92B68" w14:textId="77777777" w:rsidR="00F02EF9" w:rsidRPr="00013D78" w:rsidRDefault="00F02EF9" w:rsidP="00F02EF9">
                              <w:pPr>
                                <w:jc w:val="center"/>
                              </w:pPr>
                              <w:r w:rsidRPr="00013D78">
                                <w:rPr>
                                  <w:b/>
                                  <w:szCs w:val="20"/>
                                </w:rPr>
                                <w:t xml:space="preserve">Клиринговая </w:t>
                              </w:r>
                              <m:oMath>
                                <m:sSup>
                                  <m:sSupPr>
                                    <m:ctrlPr>
                                      <w:rPr>
                                        <w:rFonts w:ascii="Cambria Math" w:hAnsi="Cambria Math"/>
                                        <w:b/>
                                        <w:i/>
                                        <w:szCs w:val="20"/>
                                      </w:rPr>
                                    </m:ctrlPr>
                                  </m:sSupPr>
                                  <m:e>
                                    <m:r>
                                      <m:rPr>
                                        <m:sty m:val="bi"/>
                                      </m:rPr>
                                      <w:rPr>
                                        <w:rFonts w:ascii="Cambria Math" w:hAnsi="Cambria Math"/>
                                        <w:szCs w:val="20"/>
                                      </w:rPr>
                                      <m:t>К</m:t>
                                    </m:r>
                                  </m:e>
                                  <m:sup>
                                    <m:r>
                                      <m:rPr>
                                        <m:sty m:val="bi"/>
                                      </m:rPr>
                                      <w:rPr>
                                        <w:rFonts w:ascii="Cambria Math" w:hAnsi="Cambria Math"/>
                                        <w:szCs w:val="20"/>
                                      </w:rPr>
                                      <m:t>0</m:t>
                                    </m:r>
                                  </m:sup>
                                </m:sSup>
                              </m:oMath>
                            </w:p>
                          </w:txbxContent>
                        </wps:txbx>
                        <wps:bodyPr rot="0" vert="horz" wrap="square" lIns="91440" tIns="45720" rIns="91440" bIns="45720" anchor="ctr" anchorCtr="0" upright="1">
                          <a:noAutofit/>
                        </wps:bodyPr>
                      </wps:wsp>
                      <wps:wsp>
                        <wps:cNvPr id="30" name="Прямоугольник 28"/>
                        <wps:cNvSpPr>
                          <a:spLocks noChangeArrowheads="1"/>
                        </wps:cNvSpPr>
                        <wps:spPr bwMode="auto">
                          <a:xfrm>
                            <a:off x="1981200" y="1209675"/>
                            <a:ext cx="1343025" cy="447675"/>
                          </a:xfrm>
                          <a:prstGeom prst="rect">
                            <a:avLst/>
                          </a:prstGeom>
                          <a:solidFill>
                            <a:srgbClr val="FFFFFF"/>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14:paraId="380334D6" w14:textId="77777777" w:rsidR="00F02EF9" w:rsidRPr="009A0320" w:rsidRDefault="00F02EF9" w:rsidP="00F02EF9">
                              <w:pPr>
                                <w:jc w:val="center"/>
                              </w:pPr>
                              <w:r>
                                <w:t>Выпуск ценных бумаг</w:t>
                              </w:r>
                            </w:p>
                          </w:txbxContent>
                        </wps:txbx>
                        <wps:bodyPr rot="0" vert="horz" wrap="square" lIns="91440" tIns="45720" rIns="91440" bIns="45720" anchor="ctr" anchorCtr="0" upright="1">
                          <a:noAutofit/>
                        </wps:bodyPr>
                      </wps:wsp>
                      <wps:wsp>
                        <wps:cNvPr id="31" name="Стрелка вниз 29"/>
                        <wps:cNvSpPr>
                          <a:spLocks noChangeArrowheads="1"/>
                        </wps:cNvSpPr>
                        <wps:spPr bwMode="auto">
                          <a:xfrm>
                            <a:off x="1466850" y="1104900"/>
                            <a:ext cx="409575" cy="638175"/>
                          </a:xfrm>
                          <a:prstGeom prst="downArrow">
                            <a:avLst>
                              <a:gd name="adj1" fmla="val 50000"/>
                              <a:gd name="adj2" fmla="val 49998"/>
                            </a:avLst>
                          </a:prstGeom>
                          <a:gradFill rotWithShape="0">
                            <a:gsLst>
                              <a:gs pos="0">
                                <a:srgbClr val="C2D69B"/>
                              </a:gs>
                              <a:gs pos="50000">
                                <a:srgbClr val="9BBB59"/>
                              </a:gs>
                              <a:gs pos="100000">
                                <a:srgbClr val="C2D69B"/>
                              </a:gs>
                            </a:gsLst>
                            <a:lin ang="5400000" scaled="1"/>
                          </a:gradFill>
                          <a:ln w="12700" algn="ctr">
                            <a:solidFill>
                              <a:srgbClr val="9BBB59"/>
                            </a:solidFill>
                            <a:miter lim="800000"/>
                            <a:headEnd/>
                            <a:tailEnd/>
                          </a:ln>
                          <a:effectLst>
                            <a:outerShdw dist="28398" dir="3806097" algn="ctr" rotWithShape="0">
                              <a:srgbClr val="4E6128"/>
                            </a:outerShdw>
                          </a:effectLst>
                        </wps:spPr>
                        <wps:bodyPr rot="0" vert="horz" wrap="square" lIns="91440" tIns="45720" rIns="91440" bIns="45720" anchor="ctr" anchorCtr="0" upright="1">
                          <a:noAutofit/>
                        </wps:bodyPr>
                      </wps:wsp>
                      <wps:wsp>
                        <wps:cNvPr id="32" name="Стрелка вверх 30"/>
                        <wps:cNvSpPr>
                          <a:spLocks noChangeArrowheads="1"/>
                        </wps:cNvSpPr>
                        <wps:spPr bwMode="auto">
                          <a:xfrm>
                            <a:off x="1600200" y="5038725"/>
                            <a:ext cx="361950" cy="409575"/>
                          </a:xfrm>
                          <a:prstGeom prst="upArrow">
                            <a:avLst>
                              <a:gd name="adj1" fmla="val 50000"/>
                              <a:gd name="adj2" fmla="val 49999"/>
                            </a:avLst>
                          </a:prstGeom>
                          <a:gradFill rotWithShape="0">
                            <a:gsLst>
                              <a:gs pos="0">
                                <a:srgbClr val="C2D69B"/>
                              </a:gs>
                              <a:gs pos="50000">
                                <a:srgbClr val="9BBB59"/>
                              </a:gs>
                              <a:gs pos="100000">
                                <a:srgbClr val="C2D69B"/>
                              </a:gs>
                            </a:gsLst>
                            <a:lin ang="5400000" scaled="1"/>
                          </a:gradFill>
                          <a:ln w="12700" algn="ctr">
                            <a:solidFill>
                              <a:srgbClr val="9BBB59"/>
                            </a:solidFill>
                            <a:miter lim="800000"/>
                            <a:headEnd/>
                            <a:tailEnd/>
                          </a:ln>
                          <a:effectLst>
                            <a:outerShdw dist="28398" dir="3806097" algn="ctr" rotWithShape="0">
                              <a:srgbClr val="4E6128"/>
                            </a:outerShdw>
                          </a:effectLst>
                        </wps:spPr>
                        <wps:bodyPr rot="0" vert="horz" wrap="square" lIns="91440" tIns="45720" rIns="91440" bIns="45720" anchor="ctr" anchorCtr="0" upright="1">
                          <a:noAutofit/>
                        </wps:bodyPr>
                      </wps:wsp>
                      <wps:wsp>
                        <wps:cNvPr id="33" name="Прямая со стрелкой 31"/>
                        <wps:cNvCnPr>
                          <a:cxnSpLocks noChangeShapeType="1"/>
                        </wps:cNvCnPr>
                        <wps:spPr bwMode="auto">
                          <a:xfrm flipV="1">
                            <a:off x="4467225" y="1104900"/>
                            <a:ext cx="0" cy="638175"/>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Прямая со стрелкой 36"/>
                        <wps:cNvCnPr>
                          <a:cxnSpLocks noChangeShapeType="1"/>
                        </wps:cNvCnPr>
                        <wps:spPr bwMode="auto">
                          <a:xfrm flipH="1" flipV="1">
                            <a:off x="2628900" y="2266950"/>
                            <a:ext cx="1415187" cy="329184"/>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Прямая со стрелкой 37"/>
                        <wps:cNvCnPr>
                          <a:cxnSpLocks noChangeShapeType="1"/>
                        </wps:cNvCnPr>
                        <wps:spPr bwMode="auto">
                          <a:xfrm flipH="1">
                            <a:off x="3000375" y="2600325"/>
                            <a:ext cx="1043712" cy="102667"/>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Прямая со стрелкой 38"/>
                        <wps:cNvCnPr>
                          <a:cxnSpLocks noChangeShapeType="1"/>
                        </wps:cNvCnPr>
                        <wps:spPr bwMode="auto">
                          <a:xfrm flipH="1">
                            <a:off x="3248025" y="2600325"/>
                            <a:ext cx="796062" cy="519379"/>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Прямая со стрелкой 39"/>
                        <wps:cNvCnPr>
                          <a:cxnSpLocks noChangeShapeType="1"/>
                        </wps:cNvCnPr>
                        <wps:spPr bwMode="auto">
                          <a:xfrm flipH="1">
                            <a:off x="3743325" y="2600325"/>
                            <a:ext cx="301981" cy="1331366"/>
                          </a:xfrm>
                          <a:prstGeom prst="straightConnector1">
                            <a:avLst/>
                          </a:prstGeom>
                          <a:noFill/>
                          <a:ln w="9525"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45F13ED3" id="Группа 8" o:spid="_x0000_s1026" style="position:absolute;left:0;text-align:left;margin-left:0;margin-top:.55pt;width:490.8pt;height:548.25pt;z-index:251659264;mso-height-relative:margin" coordsize="56673,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">
                <v:rect id="Прямоугольник 8" o:spid="_x0000_s1027" style="position:absolute;left:18764;top:50387;width:3343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" stroked="f" strokeweight="2pt">
                  <v:textbox>
                    <w:txbxContent>
                      <w:p w14:paraId="010A54C9" w14:textId="77777777" w:rsidR="00F02EF9" w:rsidRPr="009A0320" w:rsidRDefault="00F02EF9" w:rsidP="00F02EF9">
                        <w:pPr>
                          <w:jc w:val="center"/>
                        </w:pPr>
                        <w:r>
                          <w:t>Покупка ценных бумаг для инвестиционных целей или передачи</w:t>
                        </w:r>
                      </w:p>
                    </w:txbxContent>
                  </v:textbox>
                </v:rect>
                <v:rect id="Прямоугольник 5" o:spid="_x0000_s1028" style="position:absolute;left:18288;top:6762;width:1914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" strokeweight="2pt">
                  <v:textbox>
                    <w:txbxContent>
                      <w:p w14:paraId="0463524E" w14:textId="77777777" w:rsidR="00F02EF9" w:rsidRPr="009A0320" w:rsidRDefault="00F02EF9" w:rsidP="00F02EF9">
                        <w:pPr>
                          <w:jc w:val="center"/>
                        </w:pPr>
                      </w:p>
                    </w:txbxContent>
                  </v:textbox>
                </v:rect>
                <v:rect id="Прямоугольник 1" o:spid="_x0000_s1029" style="position:absolute;left:95;width:52387;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" fillcolor="#c2d69b" strokecolor="#c2d69b" strokeweight="1pt">
                  <v:fill color2="#eaf1dd" angle="135" focus="50%" type="gradient"/>
                  <v:shadow on="t" color="#4e6128" opacity=".5" offset="1pt"/>
                  <v:textbox>
                    <w:txbxContent>
                      <w:p w14:paraId="71591F0D" w14:textId="77777777" w:rsidR="00F02EF9" w:rsidRPr="009A0320" w:rsidRDefault="00F02EF9" w:rsidP="00F02EF9">
                        <w:r w:rsidRPr="00A334F7">
                          <w:rPr>
                            <w:b/>
                          </w:rPr>
                          <w:t>1 БЛОК:</w:t>
                        </w:r>
                        <w:r w:rsidRPr="009A0320">
                          <w:t xml:space="preserve"> </w:t>
                        </w:r>
                        <w:r>
                          <w:t>Участники рынка, выпускающие ценные бумаги- эмитенты</w:t>
                        </w:r>
                      </w:p>
                    </w:txbxContent>
                  </v:textbox>
                </v:rect>
                <v:rect id="Прямоугольник 2" o:spid="_x0000_s1030" style="position:absolute;left:1238;top:6096;width:13430;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" strokeweight="2pt">
                  <v:textbox>
                    <w:txbxContent>
                      <w:p w14:paraId="03091B36" w14:textId="77777777" w:rsidR="00F02EF9" w:rsidRPr="009A0320" w:rsidRDefault="00F02EF9" w:rsidP="00F02EF9">
                        <w:pPr>
                          <w:jc w:val="center"/>
                        </w:pPr>
                        <w:r>
                          <w:t>Государство</w:t>
                        </w:r>
                      </w:p>
                    </w:txbxContent>
                  </v:textbox>
                </v:rect>
                <v:rect id="Прямоугольник 3" o:spid="_x0000_s1031" style="position:absolute;left:17716;top:6096;width:1914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" strokeweight="2pt">
                  <v:textbox>
                    <w:txbxContent>
                      <w:p w14:paraId="0F65A6FC" w14:textId="77777777" w:rsidR="00F02EF9" w:rsidRPr="009A0320" w:rsidRDefault="00F02EF9" w:rsidP="00F02EF9">
                        <w:pPr>
                          <w:jc w:val="center"/>
                        </w:pPr>
                        <w:r>
                          <w:t xml:space="preserve">Коммерческие организации </w:t>
                        </w:r>
                      </w:p>
                    </w:txbxContent>
                  </v:textbox>
                </v:rect>
                <v:rect id="Прямоугольник 4" o:spid="_x0000_s1032" style="position:absolute;left:40481;top:17430;width:16192;height:32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" fillcolor="#fabf8f" strokecolor="#fabf8f" strokeweight="1pt">
                  <v:fill color2="#fde9d9" angle="135" focus="50%" type="gradient"/>
                  <v:shadow on="t" color="#974706" opacity=".5" offset="1pt"/>
                  <v:textbox>
                    <w:txbxContent>
                      <w:p w14:paraId="49C3C626" w14:textId="77777777" w:rsidR="00F02EF9" w:rsidRPr="00A334F7" w:rsidRDefault="00F02EF9" w:rsidP="00F02EF9">
                        <w:pPr>
                          <w:jc w:val="center"/>
                          <w:rPr>
                            <w:b/>
                          </w:rPr>
                        </w:pPr>
                        <w:r w:rsidRPr="00A334F7">
                          <w:rPr>
                            <w:b/>
                          </w:rPr>
                          <w:t>5 БЛОК:</w:t>
                        </w:r>
                      </w:p>
                      <w:p w14:paraId="76957DE9" w14:textId="77777777" w:rsidR="00F02EF9" w:rsidRDefault="00F02EF9" w:rsidP="00F02EF9">
                        <w:pPr>
                          <w:jc w:val="center"/>
                        </w:pPr>
                      </w:p>
                      <w:p w14:paraId="600C593D" w14:textId="77777777" w:rsidR="00F02EF9" w:rsidRDefault="00F02EF9" w:rsidP="00F02EF9">
                        <w:pPr>
                          <w:jc w:val="center"/>
                        </w:pPr>
                      </w:p>
                      <w:p w14:paraId="54C87444" w14:textId="77777777" w:rsidR="00F02EF9" w:rsidRDefault="00F02EF9" w:rsidP="00F02EF9">
                        <w:pPr>
                          <w:jc w:val="center"/>
                        </w:pPr>
                      </w:p>
                      <w:p w14:paraId="29213F41" w14:textId="77777777" w:rsidR="00F02EF9" w:rsidRPr="002D1680" w:rsidRDefault="00F02EF9" w:rsidP="00F02EF9">
                        <w:pPr>
                          <w:jc w:val="center"/>
                          <w:rPr>
                            <w:u w:val="single"/>
                          </w:rPr>
                        </w:pPr>
                        <w:r w:rsidRPr="002D1680">
                          <w:rPr>
                            <w:u w:val="single"/>
                          </w:rPr>
                          <w:t>РЕГУЛЯТОР</w:t>
                        </w:r>
                      </w:p>
                      <w:p w14:paraId="7B845F53" w14:textId="77777777" w:rsidR="00F02EF9" w:rsidRDefault="00F02EF9" w:rsidP="00F02EF9">
                        <w:pPr>
                          <w:jc w:val="center"/>
                          <w:rPr>
                            <w:sz w:val="40"/>
                          </w:rPr>
                        </w:pPr>
                        <w:r w:rsidRPr="002D1680">
                          <w:rPr>
                            <w:sz w:val="40"/>
                          </w:rPr>
                          <w:t>ЦБ РФ</w:t>
                        </w:r>
                      </w:p>
                      <w:p w14:paraId="2049F4A1" w14:textId="77777777" w:rsidR="00F02EF9" w:rsidRPr="002D1680" w:rsidRDefault="00F02EF9" w:rsidP="00F02EF9">
                        <w:pPr>
                          <w:jc w:val="center"/>
                          <w:rPr>
                            <w:sz w:val="28"/>
                          </w:rPr>
                        </w:pPr>
                        <w:r>
                          <w:rPr>
                            <w:sz w:val="28"/>
                          </w:rPr>
                          <w:t>(ЦЕНТРАЛЬН</w:t>
                        </w:r>
                        <w:r w:rsidRPr="002D1680">
                          <w:rPr>
                            <w:sz w:val="28"/>
                          </w:rPr>
                          <w:t>Ы</w:t>
                        </w:r>
                        <w:r>
                          <w:rPr>
                            <w:sz w:val="28"/>
                          </w:rPr>
                          <w:t>Й</w:t>
                        </w:r>
                        <w:r w:rsidRPr="002D1680">
                          <w:rPr>
                            <w:sz w:val="28"/>
                          </w:rPr>
                          <w:t xml:space="preserve"> БАНК РОССИЙСКОЙ ФЕДЕРАЦИИ)</w:t>
                        </w:r>
                      </w:p>
                    </w:txbxContent>
                  </v:textbox>
                </v:rect>
                <v:rect id="Прямоугольник 6" o:spid="_x0000_s1033" style="position:absolute;left:95;top:17430;width:39719;height:20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" fillcolor="#c2d69b" strokecolor="#c2d69b" strokeweight="1pt">
                  <v:fill color2="#eaf1dd" angle="135" focus="50%" type="gradient"/>
                  <v:shadow on="t" color="#4e6128" opacity=".5" offset="1pt"/>
                  <v:textbox>
                    <w:txbxContent>
                      <w:p w14:paraId="503A9988" w14:textId="77777777" w:rsidR="00F02EF9" w:rsidRPr="00023699" w:rsidRDefault="00F02EF9" w:rsidP="00F02EF9">
                        <w:r w:rsidRPr="00A334F7">
                          <w:rPr>
                            <w:b/>
                          </w:rPr>
                          <w:t>2 БЛОК:</w:t>
                        </w:r>
                        <w:r>
                          <w:t xml:space="preserve"> Участники, рынка организующие обращение ценных бумаг </w:t>
                        </w:r>
                      </w:p>
                    </w:txbxContent>
                  </v:textbox>
                </v:rect>
                <v:rect id="Прямоугольник 7" o:spid="_x0000_s1034" style="position:absolute;left:43815;top:11049;width:10001;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" filled="f" stroked="f" strokeweight="2pt">
                  <v:textbox>
                    <w:txbxContent>
                      <w:p w14:paraId="7320D676" w14:textId="77777777" w:rsidR="00F02EF9" w:rsidRPr="00A334F7" w:rsidRDefault="00F02EF9" w:rsidP="00F02EF9">
                        <w:pPr>
                          <w:jc w:val="center"/>
                        </w:pPr>
                        <w:r w:rsidRPr="00A334F7">
                          <w:t>Стандарты, регламенты, нормы</w:t>
                        </w:r>
                      </w:p>
                    </w:txbxContent>
                  </v:textbox>
                </v:rect>
                <v:rect id="Прямоугольник 9" o:spid="_x0000_s1035" style="position:absolute;left:95;top:21336;width:18669;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" strokeweight="2pt">
                  <v:textbox>
                    <w:txbxContent>
                      <w:p w14:paraId="4DD067D3" w14:textId="77777777" w:rsidR="00F02EF9" w:rsidRDefault="00F02EF9" w:rsidP="00F02EF9">
                        <w:pPr>
                          <w:jc w:val="both"/>
                          <w:rPr>
                            <w:sz w:val="20"/>
                            <w:szCs w:val="20"/>
                          </w:rPr>
                        </w:pPr>
                        <w:r w:rsidRPr="00023699">
                          <w:rPr>
                            <w:b/>
                            <w:sz w:val="20"/>
                            <w:szCs w:val="20"/>
                          </w:rPr>
                          <w:t>Биржа</w:t>
                        </w:r>
                        <w:r>
                          <w:rPr>
                            <w:b/>
                            <w:sz w:val="20"/>
                            <w:szCs w:val="20"/>
                          </w:rPr>
                          <w:t xml:space="preserve"> </w:t>
                        </w:r>
                        <w:r>
                          <w:rPr>
                            <w:sz w:val="20"/>
                            <w:szCs w:val="20"/>
                          </w:rPr>
                          <w:t>- площадка для торговли ценными бумагами и инвестиционными активами</w:t>
                        </w:r>
                      </w:p>
                      <w:p w14:paraId="4F2BE657" w14:textId="77777777" w:rsidR="00F02EF9" w:rsidRDefault="00F02EF9" w:rsidP="00F02EF9">
                        <w:pPr>
                          <w:jc w:val="both"/>
                          <w:rPr>
                            <w:sz w:val="20"/>
                            <w:szCs w:val="20"/>
                          </w:rPr>
                        </w:pPr>
                        <w:r w:rsidRPr="00023699">
                          <w:rPr>
                            <w:b/>
                            <w:sz w:val="20"/>
                            <w:szCs w:val="20"/>
                          </w:rPr>
                          <w:t>Депозитарий</w:t>
                        </w:r>
                        <w:r>
                          <w:rPr>
                            <w:b/>
                            <w:sz w:val="20"/>
                            <w:szCs w:val="20"/>
                          </w:rPr>
                          <w:t xml:space="preserve"> </w:t>
                        </w:r>
                        <w:r>
                          <w:rPr>
                            <w:sz w:val="20"/>
                            <w:szCs w:val="20"/>
                          </w:rPr>
                          <w:t>- организация, которая ведет независимый учет и хранение ценных бумаг</w:t>
                        </w:r>
                      </w:p>
                      <w:p w14:paraId="62306587" w14:textId="77777777" w:rsidR="00F02EF9" w:rsidRPr="00023699" w:rsidRDefault="00F02EF9" w:rsidP="00F02EF9">
                        <w:pPr>
                          <w:jc w:val="both"/>
                          <w:rPr>
                            <w:sz w:val="20"/>
                            <w:szCs w:val="20"/>
                          </w:rPr>
                        </w:pPr>
                        <w:r w:rsidRPr="00023699">
                          <w:rPr>
                            <w:b/>
                            <w:sz w:val="20"/>
                            <w:szCs w:val="20"/>
                          </w:rPr>
                          <w:t>Клиринг</w:t>
                        </w:r>
                        <w:r>
                          <w:rPr>
                            <w:b/>
                            <w:sz w:val="20"/>
                            <w:szCs w:val="20"/>
                          </w:rPr>
                          <w:t xml:space="preserve"> </w:t>
                        </w:r>
                        <w:r>
                          <w:rPr>
                            <w:sz w:val="20"/>
                            <w:szCs w:val="20"/>
                          </w:rPr>
                          <w:t xml:space="preserve">- контроль и осуществление расчетов между участками биржи </w:t>
                        </w:r>
                      </w:p>
                    </w:txbxContent>
                  </v:textbox>
                </v:rect>
                <v:rect id="Прямоугольник 10" o:spid="_x0000_s1036" style="position:absolute;left:19812;top:21336;width:647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" strokeweight="2pt">
                  <v:textbox>
                    <w:txbxContent>
                      <w:p w14:paraId="75B3E8A5" w14:textId="77777777" w:rsidR="00F02EF9" w:rsidRPr="00013D78" w:rsidRDefault="00F02EF9" w:rsidP="00F02EF9">
                        <w:pPr>
                          <w:jc w:val="center"/>
                        </w:pPr>
                        <w:r w:rsidRPr="00013D78">
                          <w:rPr>
                            <w:b/>
                            <w:szCs w:val="20"/>
                          </w:rPr>
                          <w:t>Биржа</w:t>
                        </w:r>
                      </w:p>
                    </w:txbxContent>
                  </v:textbox>
                </v:rect>
                <v:rect id="Прямоугольник 11" o:spid="_x0000_s1037" style="position:absolute;left:19812;top:25431;width:10191;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" strokeweight="2pt">
                  <v:textbox>
                    <w:txbxContent>
                      <w:p w14:paraId="11F104C5" w14:textId="77777777" w:rsidR="00F02EF9" w:rsidRPr="00013D78" w:rsidRDefault="00F02EF9" w:rsidP="00F02EF9">
                        <w:pPr>
                          <w:jc w:val="center"/>
                        </w:pPr>
                        <w:r w:rsidRPr="00013D78">
                          <w:rPr>
                            <w:b/>
                            <w:szCs w:val="20"/>
                          </w:rPr>
                          <w:t>Депозитарий</w:t>
                        </w:r>
                      </w:p>
                    </w:txbxContent>
                  </v:textbox>
                </v:rect>
                <v:rect id="Прямоугольник 14" o:spid="_x0000_s1038" style="position:absolute;left:95;top:39338;width:39719;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" fillcolor="#c2d69b" strokecolor="#c2d69b" strokeweight="1pt">
                  <v:fill color2="#eaf1dd" angle="135" focus="50%" type="gradient"/>
                  <v:shadow on="t" color="#4e6128" opacity=".5" offset="1pt"/>
                  <v:textbox>
                    <w:txbxContent>
                      <w:p w14:paraId="6650B2BC" w14:textId="77777777" w:rsidR="00F02EF9" w:rsidRPr="00013D78" w:rsidRDefault="00F02EF9" w:rsidP="00F02EF9">
                        <w:r w:rsidRPr="00A334F7">
                          <w:rPr>
                            <w:b/>
                          </w:rPr>
                          <w:t>3 БЛОК:</w:t>
                        </w:r>
                        <w:r>
                          <w:t xml:space="preserve"> Участники, организующие доступ к фондовому рынку </w:t>
                        </w:r>
                      </w:p>
                    </w:txbxContent>
                  </v:textbox>
                </v:rect>
                <v:rect id="Прямоугольник 15" o:spid="_x0000_s1039" style="position:absolute;left:1047;top:45339;width:1047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" strokeweight="2pt">
                  <v:textbox>
                    <w:txbxContent>
                      <w:p w14:paraId="40E5C6D7" w14:textId="77777777" w:rsidR="00F02EF9" w:rsidRPr="009A0320" w:rsidRDefault="00F02EF9" w:rsidP="00F02EF9">
                        <w:pPr>
                          <w:jc w:val="center"/>
                        </w:pPr>
                        <w:r>
                          <w:t xml:space="preserve">Брокеры </w:t>
                        </w:r>
                      </w:p>
                    </w:txbxContent>
                  </v:textbox>
                </v:rect>
                <v:rect id="Прямоугольник 16" o:spid="_x0000_s1040" style="position:absolute;left:13049;top:45434;width:10477;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" strokeweight="2pt">
                  <v:textbox>
                    <w:txbxContent>
                      <w:p w14:paraId="4A09F933" w14:textId="77777777" w:rsidR="00F02EF9" w:rsidRPr="009A0320" w:rsidRDefault="00F02EF9" w:rsidP="00F02EF9">
                        <w:pPr>
                          <w:jc w:val="center"/>
                        </w:pPr>
                        <w:r>
                          <w:t xml:space="preserve">Дилеры </w:t>
                        </w:r>
                      </w:p>
                    </w:txbxContent>
                  </v:textbox>
                </v:rect>
                <v:rect id="Прямоугольник 18" o:spid="_x0000_s1041" style="position:absolute;left:25431;top:45434;width:1285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" strokeweight="2pt">
                  <v:textbox>
                    <w:txbxContent>
                      <w:p w14:paraId="7BAA0439" w14:textId="77777777" w:rsidR="00F02EF9" w:rsidRPr="009A0320" w:rsidRDefault="00F02EF9" w:rsidP="00F02EF9">
                        <w:pPr>
                          <w:jc w:val="center"/>
                        </w:pPr>
                        <w:proofErr w:type="gramStart"/>
                        <w:r>
                          <w:t>Управляющие</w:t>
                        </w:r>
                        <w:proofErr w:type="gramEnd"/>
                        <w:r>
                          <w:t xml:space="preserve"> Ко</w:t>
                        </w:r>
                      </w:p>
                    </w:txbxContent>
                  </v:textbox>
                </v:rect>
                <v:rect id="Прямоугольник 19" o:spid="_x0000_s1042" style="position:absolute;top:54483;width:52387;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" fillcolor="#c2d69b" strokecolor="#c2d69b" strokeweight="1pt">
                  <v:fill color2="#eaf1dd" angle="135" focus="50%" type="gradient"/>
                  <v:shadow on="t" color="#4e6128" opacity=".5" offset="1pt"/>
                  <v:textbox>
                    <w:txbxContent>
                      <w:p w14:paraId="4470F1B9" w14:textId="77777777" w:rsidR="00F02EF9" w:rsidRDefault="00F02EF9" w:rsidP="00F02EF9">
                        <w:pPr>
                          <w:jc w:val="both"/>
                        </w:pPr>
                        <w:r w:rsidRPr="00A334F7">
                          <w:rPr>
                            <w:b/>
                          </w:rPr>
                          <w:t>4 БЛОК:</w:t>
                        </w:r>
                        <w:r>
                          <w:t xml:space="preserve"> участники рынка, приобретающие ценные бумаги – инвесторы, инвестиционные фонды, трейдеры.</w:t>
                        </w:r>
                      </w:p>
                      <w:p w14:paraId="3BF61927" w14:textId="77777777" w:rsidR="00F02EF9" w:rsidRDefault="00F02EF9" w:rsidP="00F02EF9"/>
                      <w:p w14:paraId="6B2FC9ED" w14:textId="77777777" w:rsidR="00F02EF9" w:rsidRPr="002D1680" w:rsidRDefault="00F02EF9" w:rsidP="00F02EF9"/>
                    </w:txbxContent>
                  </v:textbox>
                </v:rect>
                <v:rect id="Прямоугольник 22" o:spid="_x0000_s1043" style="position:absolute;left:666;top:59436;width:14764;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" strokeweight="2pt">
                  <v:textbox>
                    <w:txbxContent>
                      <w:p w14:paraId="2362845B" w14:textId="77777777" w:rsidR="00F02EF9" w:rsidRPr="009A0320" w:rsidRDefault="00F02EF9" w:rsidP="00F02EF9">
                        <w:pPr>
                          <w:jc w:val="center"/>
                        </w:pPr>
                        <w:r>
                          <w:t xml:space="preserve">Государство </w:t>
                        </w:r>
                      </w:p>
                    </w:txbxContent>
                  </v:textbox>
                </v:rect>
                <v:rect id="Прямоугольник 24" o:spid="_x0000_s1044" style="position:absolute;left:16002;top:59436;width:1914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" strokeweight="2pt">
                  <v:textbox>
                    <w:txbxContent>
                      <w:p w14:paraId="157C6942" w14:textId="77777777" w:rsidR="00F02EF9" w:rsidRPr="009A0320" w:rsidRDefault="00F02EF9" w:rsidP="00F02EF9">
                        <w:pPr>
                          <w:jc w:val="center"/>
                        </w:pPr>
                        <w:r>
                          <w:t xml:space="preserve">Коммерческие организации </w:t>
                        </w:r>
                      </w:p>
                    </w:txbxContent>
                  </v:textbox>
                </v:rect>
                <v:rect id="Прямоугольник 25" o:spid="_x0000_s1045" style="position:absolute;left:35814;top:59340;width:15335;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" strokeweight="2pt">
                  <v:textbox>
                    <w:txbxContent>
                      <w:p w14:paraId="60DEC66B" w14:textId="77777777" w:rsidR="00F02EF9" w:rsidRPr="009A0320" w:rsidRDefault="00F02EF9" w:rsidP="00F02EF9">
                        <w:pPr>
                          <w:jc w:val="center"/>
                        </w:pPr>
                        <w:r>
                          <w:t xml:space="preserve">Население </w:t>
                        </w:r>
                      </w:p>
                    </w:txbxContent>
                  </v:textbox>
                </v:rect>
                <v:rect id="Прямоугольник 13" o:spid="_x0000_s1046" style="position:absolute;left:28670;top:32956;width:10477;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" stroked="f" strokeweight="2pt">
                  <v:textbox>
                    <w:txbxContent>
                      <w:p w14:paraId="5D6ECE9C" w14:textId="77777777" w:rsidR="00F02EF9" w:rsidRPr="00013D78" w:rsidRDefault="00F02EF9" w:rsidP="00F02EF9">
                        <w:pPr>
                          <w:jc w:val="center"/>
                          <w:rPr>
                            <w:sz w:val="18"/>
                          </w:rPr>
                        </w:pPr>
                        <w:r w:rsidRPr="00013D78">
                          <w:rPr>
                            <w:sz w:val="18"/>
                          </w:rPr>
                          <w:t>Лицензирован</w:t>
                        </w:r>
                        <w:r>
                          <w:rPr>
                            <w:sz w:val="18"/>
                          </w:rPr>
                          <w:t>ие и контроль</w:t>
                        </w:r>
                        <w:r w:rsidRPr="00013D78">
                          <w:rPr>
                            <w:sz w:val="18"/>
                          </w:rPr>
                          <w:t xml:space="preserve"> деятельности</w:t>
                        </w:r>
                      </w:p>
                    </w:txbxContent>
                  </v:textbox>
                </v:rect>
                <v:rect id="Прямоугольник 12" o:spid="_x0000_s1047" style="position:absolute;left:19812;top:29527;width:12668;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" strokeweight="2pt">
                  <v:textbox>
                    <w:txbxContent>
                      <w:p w14:paraId="7EF92B68" w14:textId="77777777" w:rsidR="00F02EF9" w:rsidRPr="00013D78" w:rsidRDefault="00F02EF9" w:rsidP="00F02EF9">
                        <w:pPr>
                          <w:jc w:val="center"/>
                        </w:pPr>
                        <w:r w:rsidRPr="00013D78">
                          <w:rPr>
                            <w:b/>
                            <w:szCs w:val="20"/>
                          </w:rPr>
                          <w:t xml:space="preserve">Клиринговая </w:t>
                        </w:r>
                        <m:oMath>
                          <m:sSup>
                            <m:sSupPr>
                              <m:ctrlPr>
                                <w:rPr>
                                  <w:rFonts w:ascii="Cambria Math" w:hAnsi="Cambria Math"/>
                                  <w:b/>
                                  <w:i/>
                                  <w:szCs w:val="20"/>
                                </w:rPr>
                              </m:ctrlPr>
                            </m:sSupPr>
                            <m:e>
                              <m:r>
                                <m:rPr>
                                  <m:sty m:val="bi"/>
                                </m:rPr>
                                <w:rPr>
                                  <w:rFonts w:ascii="Cambria Math" w:hAnsi="Cambria Math"/>
                                  <w:szCs w:val="20"/>
                                </w:rPr>
                                <m:t>К</m:t>
                              </m:r>
                            </m:e>
                            <m:sup>
                              <m:r>
                                <m:rPr>
                                  <m:sty m:val="bi"/>
                                </m:rPr>
                                <w:rPr>
                                  <w:rFonts w:ascii="Cambria Math" w:hAnsi="Cambria Math"/>
                                  <w:szCs w:val="20"/>
                                </w:rPr>
                                <m:t>0</m:t>
                              </m:r>
                            </m:sup>
                          </m:sSup>
                        </m:oMath>
                      </w:p>
                    </w:txbxContent>
                  </v:textbox>
                </v:rect>
                <v:rect id="Прямоугольник 28" o:spid="_x0000_s1048" style="position:absolute;left:19812;top:12096;width:13430;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" stroked="f" strokeweight="2pt">
                  <v:textbox>
                    <w:txbxContent>
                      <w:p w14:paraId="380334D6" w14:textId="77777777" w:rsidR="00F02EF9" w:rsidRPr="009A0320" w:rsidRDefault="00F02EF9" w:rsidP="00F02EF9">
                        <w:pPr>
                          <w:jc w:val="center"/>
                        </w:pPr>
                        <w:r>
                          <w:t>Выпуск ценных бумаг</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9" o:spid="_x0000_s1049" type="#_x0000_t67" style="position:absolute;left:14668;top:11049;width:4096;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" adj="14669" fillcolor="#c2d69b" strokecolor="#9bbb59" strokeweight="1pt">
                  <v:fill color2="#9bbb59" focus="50%" type="gradient"/>
                  <v:shadow on="t" color="#4e6128" offset="1pt"/>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30" o:spid="_x0000_s1050" type="#_x0000_t68" style="position:absolute;left:16002;top:50387;width:361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" adj="9544" fillcolor="#c2d69b" strokecolor="#9bbb59" strokeweight="1pt">
                  <v:fill color2="#9bbb59" focus="50%" type="gradient"/>
                  <v:shadow on="t" color="#4e6128" offset="1pt"/>
                </v:shape>
                <v:shapetype id="_x0000_t32" coordsize="21600,21600" o:spt="32" o:oned="t" path="m,l21600,21600e" filled="f">
                  <v:path arrowok="t" fillok="f" o:connecttype="none"/>
                  <o:lock v:ext="edit" shapetype="t"/>
                </v:shapetype>
                <v:shape id="Прямая со стрелкой 31" o:spid="_x0000_s1051" type="#_x0000_t32" style="position:absolute;left:44672;top:11049;width:0;height:6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dJMwwAAANsAAAAPAAAAZHJzL2Rvd25yZXYueG1sRI9PawIx&#10;FMTvhX6H8AreutlWLL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DB3STMMAAADbAAAADwAA&#10;AAAAAAAAAAAAAAAHAgAAZHJzL2Rvd25yZXYueG1sUEsFBgAAAAADAAMAtwAAAPcCAAAAAA==&#10;">
                  <v:stroke endarrow="block"/>
                </v:shape>
                <v:shape id="Прямая со стрелкой 36" o:spid="_x0000_s1052" type="#_x0000_t32" style="position:absolute;left:26289;top:22669;width:14151;height:32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">
                  <v:stroke endarrow="block"/>
                </v:shape>
                <v:shape id="Прямая со стрелкой 37" o:spid="_x0000_s1053" type="#_x0000_t32" style="position:absolute;left:30003;top:26003;width:10437;height:102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">
                  <v:stroke endarrow="block"/>
                </v:shape>
                <v:shape id="Прямая со стрелкой 38" o:spid="_x0000_s1054" type="#_x0000_t32" style="position:absolute;left:32480;top:26003;width:7960;height:519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">
                  <v:stroke endarrow="block"/>
                </v:shape>
                <v:shape id="Прямая со стрелкой 39" o:spid="_x0000_s1055" type="#_x0000_t32" style="position:absolute;left:37433;top:26003;width:3020;height:133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group>
            </w:pict>
          </mc:Fallback>
        </mc:AlternateContent>
      </w:r>
    </w:p>
    <w:p w14:paraId="67B733C0" w14:textId="7A4936C5" w:rsidR="00F02EF9" w:rsidRDefault="00F02EF9" w:rsidP="00F02EF9">
      <w:pPr>
        <w:spacing w:after="0" w:line="360" w:lineRule="auto"/>
        <w:ind w:firstLine="709"/>
      </w:pPr>
    </w:p>
    <w:p w14:paraId="65C72497" w14:textId="23D3ACF8" w:rsidR="00F02EF9" w:rsidRDefault="00F02EF9" w:rsidP="00F02EF9">
      <w:pPr>
        <w:spacing w:after="0" w:line="360" w:lineRule="auto"/>
        <w:ind w:firstLine="709"/>
      </w:pPr>
    </w:p>
    <w:p w14:paraId="0A9F6018" w14:textId="1F361C76" w:rsidR="00F02EF9" w:rsidRDefault="00F02EF9" w:rsidP="00F02EF9">
      <w:pPr>
        <w:spacing w:after="0" w:line="360" w:lineRule="auto"/>
        <w:ind w:firstLine="709"/>
      </w:pPr>
    </w:p>
    <w:p w14:paraId="79EEA6FE" w14:textId="53894D17" w:rsidR="00F02EF9" w:rsidRDefault="00F02EF9" w:rsidP="00F02EF9">
      <w:pPr>
        <w:spacing w:after="0" w:line="360" w:lineRule="auto"/>
        <w:ind w:firstLine="709"/>
      </w:pPr>
    </w:p>
    <w:p w14:paraId="555F5E12" w14:textId="46A8B5E6" w:rsidR="00F02EF9" w:rsidRDefault="00F02EF9" w:rsidP="00F02EF9">
      <w:pPr>
        <w:spacing w:after="0" w:line="360" w:lineRule="auto"/>
        <w:ind w:firstLine="709"/>
      </w:pPr>
    </w:p>
    <w:p w14:paraId="51571ED5" w14:textId="1646A8E6" w:rsidR="00F02EF9" w:rsidRDefault="00F02EF9" w:rsidP="00F02EF9">
      <w:pPr>
        <w:spacing w:after="0" w:line="360" w:lineRule="auto"/>
        <w:ind w:firstLine="709"/>
      </w:pPr>
    </w:p>
    <w:p w14:paraId="2FCA3907" w14:textId="7BFA813B" w:rsidR="00F02EF9" w:rsidRDefault="00F02EF9" w:rsidP="00F02EF9">
      <w:pPr>
        <w:spacing w:after="0" w:line="360" w:lineRule="auto"/>
        <w:ind w:firstLine="709"/>
      </w:pPr>
    </w:p>
    <w:p w14:paraId="543C9D68" w14:textId="346F8B0E" w:rsidR="00F02EF9" w:rsidRDefault="00F02EF9" w:rsidP="00F02EF9">
      <w:pPr>
        <w:spacing w:after="0" w:line="360" w:lineRule="auto"/>
        <w:ind w:firstLine="709"/>
      </w:pPr>
    </w:p>
    <w:p w14:paraId="36365D9F" w14:textId="5EB265D1" w:rsidR="00F02EF9" w:rsidRDefault="00F02EF9" w:rsidP="00F02EF9">
      <w:pPr>
        <w:spacing w:after="0" w:line="360" w:lineRule="auto"/>
        <w:ind w:firstLine="709"/>
      </w:pPr>
    </w:p>
    <w:p w14:paraId="7CF8E095" w14:textId="72CCB647" w:rsidR="00F02EF9" w:rsidRDefault="00F02EF9" w:rsidP="00F02EF9">
      <w:pPr>
        <w:spacing w:after="0" w:line="360" w:lineRule="auto"/>
        <w:ind w:firstLine="709"/>
      </w:pPr>
    </w:p>
    <w:p w14:paraId="3279AF44" w14:textId="014585B8" w:rsidR="00F02EF9" w:rsidRDefault="00F02EF9" w:rsidP="00F02EF9">
      <w:pPr>
        <w:spacing w:after="0" w:line="360" w:lineRule="auto"/>
        <w:ind w:firstLine="709"/>
      </w:pPr>
    </w:p>
    <w:p w14:paraId="6327984B" w14:textId="77777777" w:rsidR="00F02EF9" w:rsidRPr="00F02EF9" w:rsidRDefault="00F02EF9" w:rsidP="00F02EF9">
      <w:pPr>
        <w:spacing w:after="0" w:line="360" w:lineRule="auto"/>
        <w:ind w:firstLine="709"/>
        <w:rPr>
          <w:rFonts w:ascii="Times New Roman" w:hAnsi="Times New Roman" w:cs="Times New Roman"/>
          <w:sz w:val="28"/>
          <w:szCs w:val="28"/>
        </w:rPr>
      </w:pPr>
    </w:p>
    <w:p w14:paraId="1B74895E" w14:textId="77777777" w:rsidR="00F02EF9" w:rsidRPr="00F02EF9" w:rsidRDefault="00F02EF9" w:rsidP="00F02EF9">
      <w:pPr>
        <w:spacing w:after="0" w:line="360" w:lineRule="auto"/>
        <w:ind w:firstLine="709"/>
        <w:rPr>
          <w:rFonts w:ascii="Times New Roman" w:hAnsi="Times New Roman" w:cs="Times New Roman"/>
          <w:sz w:val="28"/>
          <w:szCs w:val="28"/>
        </w:rPr>
      </w:pPr>
    </w:p>
    <w:p w14:paraId="60C6AC12" w14:textId="77777777" w:rsidR="00F02EF9" w:rsidRPr="00F02EF9" w:rsidRDefault="00F02EF9" w:rsidP="00F02EF9">
      <w:pPr>
        <w:spacing w:after="0" w:line="360" w:lineRule="auto"/>
        <w:ind w:firstLine="709"/>
        <w:rPr>
          <w:rFonts w:ascii="Times New Roman" w:hAnsi="Times New Roman" w:cs="Times New Roman"/>
          <w:sz w:val="28"/>
          <w:szCs w:val="28"/>
        </w:rPr>
      </w:pPr>
    </w:p>
    <w:p w14:paraId="40C40EF9" w14:textId="77777777" w:rsidR="00F02EF9" w:rsidRPr="00F02EF9" w:rsidRDefault="00F02EF9" w:rsidP="00F02EF9">
      <w:pPr>
        <w:spacing w:after="0" w:line="360" w:lineRule="auto"/>
        <w:ind w:firstLine="709"/>
        <w:rPr>
          <w:rFonts w:ascii="Times New Roman" w:hAnsi="Times New Roman" w:cs="Times New Roman"/>
          <w:sz w:val="28"/>
          <w:szCs w:val="28"/>
        </w:rPr>
      </w:pPr>
    </w:p>
    <w:p w14:paraId="3C7F3788" w14:textId="77777777" w:rsidR="00F02EF9" w:rsidRPr="00F02EF9" w:rsidRDefault="00F02EF9" w:rsidP="00F02EF9">
      <w:pPr>
        <w:spacing w:after="0" w:line="360" w:lineRule="auto"/>
        <w:ind w:firstLine="709"/>
        <w:rPr>
          <w:rFonts w:ascii="Times New Roman" w:hAnsi="Times New Roman" w:cs="Times New Roman"/>
          <w:sz w:val="28"/>
          <w:szCs w:val="28"/>
        </w:rPr>
      </w:pPr>
    </w:p>
    <w:p w14:paraId="77822469" w14:textId="77777777" w:rsidR="00F02EF9" w:rsidRPr="00F02EF9" w:rsidRDefault="00F02EF9" w:rsidP="00F02EF9">
      <w:pPr>
        <w:spacing w:after="0" w:line="360" w:lineRule="auto"/>
        <w:ind w:firstLine="709"/>
        <w:rPr>
          <w:rFonts w:ascii="Times New Roman" w:hAnsi="Times New Roman" w:cs="Times New Roman"/>
          <w:sz w:val="28"/>
          <w:szCs w:val="28"/>
        </w:rPr>
      </w:pPr>
    </w:p>
    <w:p w14:paraId="56BBBF56" w14:textId="77777777" w:rsidR="00F02EF9" w:rsidRPr="00F02EF9" w:rsidRDefault="00F02EF9" w:rsidP="00F02EF9">
      <w:pPr>
        <w:spacing w:after="0" w:line="360" w:lineRule="auto"/>
        <w:ind w:firstLine="709"/>
        <w:rPr>
          <w:rFonts w:ascii="Times New Roman" w:hAnsi="Times New Roman" w:cs="Times New Roman"/>
          <w:sz w:val="28"/>
          <w:szCs w:val="28"/>
        </w:rPr>
      </w:pPr>
    </w:p>
    <w:p w14:paraId="7BA8355C" w14:textId="77777777" w:rsidR="00F02EF9" w:rsidRPr="00F02EF9" w:rsidRDefault="00F02EF9" w:rsidP="00F02EF9">
      <w:pPr>
        <w:spacing w:after="0" w:line="360" w:lineRule="auto"/>
        <w:ind w:firstLine="709"/>
        <w:rPr>
          <w:rFonts w:ascii="Times New Roman" w:hAnsi="Times New Roman" w:cs="Times New Roman"/>
          <w:sz w:val="28"/>
          <w:szCs w:val="28"/>
        </w:rPr>
      </w:pPr>
    </w:p>
    <w:p w14:paraId="7F13F292" w14:textId="77777777" w:rsidR="00F02EF9" w:rsidRPr="00F02EF9" w:rsidRDefault="00F02EF9" w:rsidP="00F02EF9">
      <w:pPr>
        <w:spacing w:after="0" w:line="360" w:lineRule="auto"/>
        <w:ind w:firstLine="709"/>
        <w:rPr>
          <w:rFonts w:ascii="Times New Roman" w:hAnsi="Times New Roman" w:cs="Times New Roman"/>
          <w:sz w:val="28"/>
          <w:szCs w:val="28"/>
        </w:rPr>
      </w:pPr>
    </w:p>
    <w:p w14:paraId="3B4DB776" w14:textId="77777777" w:rsidR="00F02EF9" w:rsidRPr="00F02EF9" w:rsidRDefault="00F02EF9" w:rsidP="00F02EF9">
      <w:pPr>
        <w:spacing w:after="0" w:line="360" w:lineRule="auto"/>
        <w:ind w:firstLine="709"/>
        <w:rPr>
          <w:rFonts w:ascii="Times New Roman" w:hAnsi="Times New Roman" w:cs="Times New Roman"/>
          <w:sz w:val="28"/>
          <w:szCs w:val="28"/>
        </w:rPr>
      </w:pPr>
    </w:p>
    <w:p w14:paraId="2F83FD6A" w14:textId="77777777" w:rsidR="00F02EF9" w:rsidRPr="00F02EF9" w:rsidRDefault="00F02EF9" w:rsidP="00F02EF9">
      <w:pPr>
        <w:spacing w:after="0" w:line="360" w:lineRule="auto"/>
        <w:ind w:firstLine="709"/>
        <w:rPr>
          <w:rFonts w:ascii="Times New Roman" w:hAnsi="Times New Roman" w:cs="Times New Roman"/>
          <w:sz w:val="28"/>
          <w:szCs w:val="28"/>
        </w:rPr>
      </w:pPr>
    </w:p>
    <w:p w14:paraId="759D9349" w14:textId="77777777" w:rsidR="00F02EF9" w:rsidRPr="00F02EF9" w:rsidRDefault="00F02EF9" w:rsidP="00F02EF9">
      <w:pPr>
        <w:spacing w:after="0" w:line="360" w:lineRule="auto"/>
        <w:ind w:firstLine="709"/>
        <w:rPr>
          <w:rFonts w:ascii="Times New Roman" w:hAnsi="Times New Roman" w:cs="Times New Roman"/>
          <w:sz w:val="28"/>
          <w:szCs w:val="28"/>
        </w:rPr>
      </w:pPr>
    </w:p>
    <w:p w14:paraId="3928582C" w14:textId="77777777" w:rsidR="00F02EF9" w:rsidRPr="00F02EF9" w:rsidRDefault="00F02EF9" w:rsidP="00F02EF9">
      <w:pPr>
        <w:spacing w:after="0" w:line="360" w:lineRule="auto"/>
        <w:ind w:firstLine="709"/>
        <w:rPr>
          <w:rFonts w:ascii="Times New Roman" w:hAnsi="Times New Roman" w:cs="Times New Roman"/>
          <w:sz w:val="28"/>
          <w:szCs w:val="28"/>
        </w:rPr>
      </w:pPr>
    </w:p>
    <w:p w14:paraId="5BCB652D" w14:textId="77777777" w:rsidR="00F02EF9" w:rsidRPr="00F02EF9" w:rsidRDefault="00F02EF9" w:rsidP="00F02EF9">
      <w:pPr>
        <w:spacing w:after="0" w:line="360" w:lineRule="auto"/>
        <w:ind w:firstLine="709"/>
        <w:rPr>
          <w:rFonts w:ascii="Times New Roman" w:hAnsi="Times New Roman" w:cs="Times New Roman"/>
          <w:sz w:val="28"/>
          <w:szCs w:val="28"/>
        </w:rPr>
      </w:pPr>
    </w:p>
    <w:p w14:paraId="3494B7E3" w14:textId="2E82B063" w:rsidR="00F02EF9" w:rsidRPr="00F02EF9" w:rsidRDefault="00F02EF9" w:rsidP="00F02EF9">
      <w:pPr>
        <w:spacing w:after="0" w:line="360" w:lineRule="auto"/>
        <w:jc w:val="center"/>
        <w:rPr>
          <w:rFonts w:ascii="Times New Roman" w:hAnsi="Times New Roman" w:cs="Times New Roman"/>
          <w:bCs/>
          <w:sz w:val="28"/>
          <w:szCs w:val="28"/>
        </w:rPr>
      </w:pPr>
      <w:r w:rsidRPr="00F02EF9">
        <w:rPr>
          <w:rFonts w:ascii="Times New Roman" w:hAnsi="Times New Roman" w:cs="Times New Roman"/>
          <w:sz w:val="28"/>
          <w:szCs w:val="28"/>
        </w:rPr>
        <w:t xml:space="preserve">Рисунок </w:t>
      </w:r>
      <w:r>
        <w:rPr>
          <w:rFonts w:ascii="Times New Roman" w:hAnsi="Times New Roman" w:cs="Times New Roman"/>
          <w:sz w:val="28"/>
          <w:szCs w:val="28"/>
        </w:rPr>
        <w:t>1</w:t>
      </w:r>
      <w:r w:rsidRPr="00F02EF9">
        <w:rPr>
          <w:rFonts w:ascii="Times New Roman" w:hAnsi="Times New Roman" w:cs="Times New Roman"/>
          <w:b/>
          <w:sz w:val="28"/>
          <w:szCs w:val="28"/>
        </w:rPr>
        <w:t xml:space="preserve"> - </w:t>
      </w:r>
      <w:r w:rsidRPr="00F02EF9">
        <w:rPr>
          <w:rFonts w:ascii="Times New Roman" w:hAnsi="Times New Roman" w:cs="Times New Roman"/>
          <w:bCs/>
          <w:sz w:val="28"/>
          <w:szCs w:val="28"/>
        </w:rPr>
        <w:t>Схема работы фондового рынка</w:t>
      </w:r>
    </w:p>
    <w:p w14:paraId="085963DD" w14:textId="77777777" w:rsidR="00F02EF9" w:rsidRDefault="00F02EF9" w:rsidP="00F02EF9">
      <w:pPr>
        <w:spacing w:after="0" w:line="360" w:lineRule="auto"/>
        <w:ind w:firstLine="709"/>
        <w:rPr>
          <w:rFonts w:ascii="Times New Roman" w:hAnsi="Times New Roman" w:cs="Times New Roman"/>
          <w:sz w:val="28"/>
          <w:szCs w:val="28"/>
        </w:rPr>
      </w:pPr>
    </w:p>
    <w:p w14:paraId="485F6165" w14:textId="58CE95E5"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Государство осуществляет заимствования как на внутреннем, так и на внешнем рынке. Ввиду высокой надежности государственных финансовых инструментов вложения, они характеризуются минимальными рисками и </w:t>
      </w:r>
      <w:r w:rsidRPr="00F02EF9">
        <w:rPr>
          <w:rFonts w:ascii="Times New Roman" w:hAnsi="Times New Roman" w:cs="Times New Roman"/>
          <w:sz w:val="28"/>
          <w:szCs w:val="28"/>
        </w:rPr>
        <w:lastRenderedPageBreak/>
        <w:t xml:space="preserve">минимальной доходностью. На российском рынке ценных бумаг основными эмитентами являются: </w:t>
      </w:r>
    </w:p>
    <w:p w14:paraId="0E28490B"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государство в лице Министерства финансов РФ – крупнейший эмитент долговых ценных бумаг в России;</w:t>
      </w:r>
    </w:p>
    <w:p w14:paraId="3A86ED4F"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 - субъекты федерации и местные органы власти – с целью финансирования бюджета проводят эмиссию облигаций; </w:t>
      </w:r>
    </w:p>
    <w:p w14:paraId="654AC005"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 акционерные общества, основная доля объема акций которых обращается на российском рынке; </w:t>
      </w:r>
    </w:p>
    <w:p w14:paraId="7FB5753A"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 банки, выступающие в качестве эмитентов акций, векселей, депозитных и сберегательных сертификатов; </w:t>
      </w:r>
    </w:p>
    <w:p w14:paraId="6E33E070" w14:textId="77777777" w:rsidR="00F02EF9" w:rsidRDefault="00F02EF9" w:rsidP="00F02EF9">
      <w:pPr>
        <w:spacing w:after="0" w:line="360" w:lineRule="auto"/>
        <w:ind w:firstLine="709"/>
        <w:jc w:val="both"/>
        <w:rPr>
          <w:rFonts w:ascii="Times New Roman" w:hAnsi="Times New Roman" w:cs="Times New Roman"/>
          <w:b/>
          <w:sz w:val="28"/>
          <w:szCs w:val="28"/>
        </w:rPr>
      </w:pPr>
      <w:r w:rsidRPr="00F02EF9">
        <w:rPr>
          <w:rFonts w:ascii="Times New Roman" w:hAnsi="Times New Roman" w:cs="Times New Roman"/>
          <w:sz w:val="28"/>
          <w:szCs w:val="28"/>
        </w:rPr>
        <w:t>- управляющие компании паевых инвестиционных фондов.</w:t>
      </w:r>
      <w:r w:rsidRPr="00F02EF9">
        <w:rPr>
          <w:rFonts w:ascii="Times New Roman" w:hAnsi="Times New Roman" w:cs="Times New Roman"/>
          <w:b/>
          <w:sz w:val="28"/>
          <w:szCs w:val="28"/>
        </w:rPr>
        <w:t xml:space="preserve"> </w:t>
      </w:r>
    </w:p>
    <w:p w14:paraId="6F5F241C" w14:textId="2519EA0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Эмитент</w:t>
      </w:r>
      <w:r w:rsidRPr="00F02EF9">
        <w:rPr>
          <w:rFonts w:ascii="Times New Roman" w:hAnsi="Times New Roman" w:cs="Times New Roman"/>
          <w:sz w:val="28"/>
          <w:szCs w:val="28"/>
        </w:rPr>
        <w:t xml:space="preserve"> - юридическое лицо, исполнительный орган государственной власти, орган местного самоуправления, которые несут от своего имени или от имени публично-правового образования обязательства перед владельцами ценных бумаг по осуществлению прав, закрепленных этими ценными бумагами</w:t>
      </w:r>
    </w:p>
    <w:p w14:paraId="544BC487"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Эмитенты выступают начальным звеном в движении ценных бумаг, а конечным являются инвесторы, приобретающие ценные бумаги во владение. </w:t>
      </w:r>
    </w:p>
    <w:p w14:paraId="79BF5D69"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Инвестором</w:t>
      </w:r>
      <w:r w:rsidRPr="00F02EF9">
        <w:rPr>
          <w:rFonts w:ascii="Times New Roman" w:hAnsi="Times New Roman" w:cs="Times New Roman"/>
          <w:sz w:val="28"/>
          <w:szCs w:val="28"/>
        </w:rPr>
        <w:t xml:space="preserve"> является лицо, которому ценные бумаги принадлежат на праве собственности или ином праве. Среди инвесторов могут быть </w:t>
      </w:r>
      <w:r w:rsidRPr="00F02EF9">
        <w:rPr>
          <w:rFonts w:ascii="Times New Roman" w:hAnsi="Times New Roman" w:cs="Times New Roman"/>
          <w:b/>
          <w:sz w:val="28"/>
          <w:szCs w:val="28"/>
        </w:rPr>
        <w:t>индивидуальные</w:t>
      </w:r>
      <w:r w:rsidRPr="00F02EF9">
        <w:rPr>
          <w:rFonts w:ascii="Times New Roman" w:hAnsi="Times New Roman" w:cs="Times New Roman"/>
          <w:sz w:val="28"/>
          <w:szCs w:val="28"/>
        </w:rPr>
        <w:t xml:space="preserve"> (физические лица) и </w:t>
      </w:r>
      <w:r w:rsidRPr="00F02EF9">
        <w:rPr>
          <w:rFonts w:ascii="Times New Roman" w:hAnsi="Times New Roman" w:cs="Times New Roman"/>
          <w:b/>
          <w:sz w:val="28"/>
          <w:szCs w:val="28"/>
        </w:rPr>
        <w:t>институциональные</w:t>
      </w:r>
      <w:r w:rsidRPr="00F02EF9">
        <w:rPr>
          <w:rFonts w:ascii="Times New Roman" w:hAnsi="Times New Roman" w:cs="Times New Roman"/>
          <w:sz w:val="28"/>
          <w:szCs w:val="28"/>
        </w:rPr>
        <w:t xml:space="preserve"> (государство, корпорации, фонды, банки и т.д.). Основными инвесторами, определяющими состояние рынка ценных бумаг, являются индивидуальные инвесторы, т.е. население, использующее свои сбережения для приобретения ценных бумаг с целью получения дополнительных доходов. Юридические лица – предприятия, корпорации, основная деятельность которых не связана с рынком ценных бумаг и которые не имеют лицензии на право осуществлять профессиональную деятельность на рынке ценных бумаг в качестве посредников, но приобретающие ценные бумаги от своего имени и за свой счет, составляют группу институциональных инвесторов.</w:t>
      </w:r>
    </w:p>
    <w:p w14:paraId="3D6F7457"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lastRenderedPageBreak/>
        <w:t xml:space="preserve">Всех российских инвесторов можно разделить на две категории. К первой категории относятся </w:t>
      </w:r>
      <w:r w:rsidRPr="00F02EF9">
        <w:rPr>
          <w:rFonts w:ascii="Times New Roman" w:hAnsi="Times New Roman" w:cs="Times New Roman"/>
          <w:b/>
          <w:sz w:val="28"/>
          <w:szCs w:val="28"/>
        </w:rPr>
        <w:t>неквалифицированные инвесторы</w:t>
      </w:r>
      <w:r w:rsidRPr="00F02EF9">
        <w:rPr>
          <w:rFonts w:ascii="Times New Roman" w:hAnsi="Times New Roman" w:cs="Times New Roman"/>
          <w:sz w:val="28"/>
          <w:szCs w:val="28"/>
        </w:rPr>
        <w:t xml:space="preserve">, а ко второй – </w:t>
      </w:r>
      <w:r w:rsidRPr="00F02EF9">
        <w:rPr>
          <w:rFonts w:ascii="Times New Roman" w:hAnsi="Times New Roman" w:cs="Times New Roman"/>
          <w:b/>
          <w:sz w:val="28"/>
          <w:szCs w:val="28"/>
        </w:rPr>
        <w:t>квалифицированные инвесторы</w:t>
      </w:r>
      <w:r w:rsidRPr="00F02EF9">
        <w:rPr>
          <w:rFonts w:ascii="Times New Roman" w:hAnsi="Times New Roman" w:cs="Times New Roman"/>
          <w:sz w:val="28"/>
          <w:szCs w:val="28"/>
        </w:rPr>
        <w:t xml:space="preserve">. В международной и российской практике квалифицированными инвесторами признаются: брокерские, дилерские, управляющие компании; кредитные организации; акционерные инвестиционные фонды; управляющие компании инвестиционных фондов и негосударственных пенсионных фондов; страховые организации; негосударственные пенсионные фонды; международные финансовые организации. </w:t>
      </w:r>
    </w:p>
    <w:p w14:paraId="64809431"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Закон «О рынке ценных бумаг» устанавливает следующие виды профессиональной деятельности на рынке ценных бумаг: брокерская; дилерская; деятельность по управлению ценными бумагами; депозитарная деятельность; деятельность по ведению реестра владельцев ценных бумаг. </w:t>
      </w:r>
    </w:p>
    <w:p w14:paraId="59CE0F92" w14:textId="36D919A2"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Брокерской деятельностью</w:t>
      </w:r>
      <w:r w:rsidRPr="00F02EF9">
        <w:rPr>
          <w:rFonts w:ascii="Times New Roman" w:hAnsi="Times New Roman" w:cs="Times New Roman"/>
          <w:sz w:val="28"/>
          <w:szCs w:val="28"/>
        </w:rPr>
        <w:t xml:space="preserve"> признается деятельность по исполнению поручения клиента (в том числе эмитента эмиссионных ценных бумаг при их размещении) на совершение гражданско-правовых сделок с ценными бумагами и (или) на заключение </w:t>
      </w:r>
      <w:hyperlink r:id="rId5" w:anchor="dst100005" w:history="1">
        <w:r w:rsidRPr="00F02EF9">
          <w:rPr>
            <w:rStyle w:val="a4"/>
            <w:rFonts w:ascii="Times New Roman" w:hAnsi="Times New Roman" w:cs="Times New Roman"/>
            <w:color w:val="auto"/>
            <w:sz w:val="28"/>
            <w:szCs w:val="28"/>
            <w:u w:val="none"/>
          </w:rPr>
          <w:t>договоров</w:t>
        </w:r>
      </w:hyperlink>
      <w:r w:rsidRPr="00F02EF9">
        <w:rPr>
          <w:rFonts w:ascii="Times New Roman" w:hAnsi="Times New Roman" w:cs="Times New Roman"/>
          <w:sz w:val="28"/>
          <w:szCs w:val="28"/>
        </w:rPr>
        <w:t>, являющихся производными финансовыми инструментами, осуществляемая на основании возмездных договоров с клиентом</w:t>
      </w:r>
      <w:r>
        <w:rPr>
          <w:rFonts w:ascii="Times New Roman" w:hAnsi="Times New Roman" w:cs="Times New Roman"/>
          <w:sz w:val="28"/>
          <w:szCs w:val="28"/>
        </w:rPr>
        <w:t>.</w:t>
      </w:r>
    </w:p>
    <w:p w14:paraId="1104BC2A"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 w:name="dst100692"/>
      <w:bookmarkEnd w:id="1"/>
      <w:r w:rsidRPr="00F02EF9">
        <w:rPr>
          <w:rFonts w:ascii="Times New Roman" w:hAnsi="Times New Roman" w:cs="Times New Roman"/>
          <w:sz w:val="28"/>
          <w:szCs w:val="28"/>
        </w:rPr>
        <w:t xml:space="preserve">Профессиональный участник рынка ценных бумаг, осуществляющий брокерскую деятельность, именуется </w:t>
      </w:r>
      <w:r w:rsidRPr="00F02EF9">
        <w:rPr>
          <w:rFonts w:ascii="Times New Roman" w:hAnsi="Times New Roman" w:cs="Times New Roman"/>
          <w:b/>
          <w:sz w:val="28"/>
          <w:szCs w:val="28"/>
        </w:rPr>
        <w:t>брокером</w:t>
      </w:r>
      <w:r w:rsidRPr="00F02EF9">
        <w:rPr>
          <w:rFonts w:ascii="Times New Roman" w:hAnsi="Times New Roman" w:cs="Times New Roman"/>
          <w:sz w:val="28"/>
          <w:szCs w:val="28"/>
        </w:rPr>
        <w:t>.</w:t>
      </w:r>
    </w:p>
    <w:p w14:paraId="7DB357B1"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 w:name="dst100693"/>
      <w:bookmarkEnd w:id="2"/>
      <w:r w:rsidRPr="00F02EF9">
        <w:rPr>
          <w:rFonts w:ascii="Times New Roman" w:hAnsi="Times New Roman" w:cs="Times New Roman"/>
          <w:sz w:val="28"/>
          <w:szCs w:val="28"/>
        </w:rPr>
        <w:t>В случае оказания брокером услуг по размещению эмиссионных ценных бумаг брокер вправе приобрести за свой счет не размещенные в срок, предусмотренный договором, ценные бумаги.</w:t>
      </w:r>
    </w:p>
    <w:p w14:paraId="64382998" w14:textId="2A26BEF4" w:rsidR="00F02EF9" w:rsidRDefault="00F02EF9" w:rsidP="00F02EF9">
      <w:pPr>
        <w:spacing w:after="0" w:line="360" w:lineRule="auto"/>
        <w:ind w:firstLine="709"/>
        <w:rPr>
          <w:rFonts w:ascii="Times New Roman" w:hAnsi="Times New Roman" w:cs="Times New Roman"/>
          <w:sz w:val="28"/>
          <w:szCs w:val="28"/>
        </w:rPr>
      </w:pPr>
      <w:r w:rsidRPr="00F02EF9">
        <w:rPr>
          <w:rFonts w:ascii="Times New Roman" w:hAnsi="Times New Roman" w:cs="Times New Roman"/>
          <w:b/>
          <w:sz w:val="28"/>
          <w:szCs w:val="28"/>
        </w:rPr>
        <w:t>Дилерской деятельностью</w:t>
      </w:r>
      <w:r w:rsidRPr="00F02EF9">
        <w:rPr>
          <w:rFonts w:ascii="Times New Roman" w:hAnsi="Times New Roman" w:cs="Times New Roman"/>
          <w:sz w:val="28"/>
          <w:szCs w:val="28"/>
        </w:rPr>
        <w:t xml:space="preserve"> признается совершение сделок купли-продажи ценных бумаг от своего имени и за свой счет путем публичного объявления цен покупки и/или продажи определенных ценных бумаг с обязательством покупки и/или продажи этих ценных бумаг по объявленным лицом, осуществляющим такую деятельность, ценам</w:t>
      </w:r>
      <w:r>
        <w:rPr>
          <w:rFonts w:ascii="Times New Roman" w:hAnsi="Times New Roman" w:cs="Times New Roman"/>
          <w:sz w:val="28"/>
          <w:szCs w:val="28"/>
        </w:rPr>
        <w:t>.</w:t>
      </w:r>
    </w:p>
    <w:p w14:paraId="2B786C6F" w14:textId="77777777" w:rsidR="00F02EF9" w:rsidRPr="00F02EF9" w:rsidRDefault="00F02EF9" w:rsidP="00F02EF9">
      <w:pPr>
        <w:spacing w:after="0" w:line="360" w:lineRule="auto"/>
        <w:ind w:firstLine="709"/>
        <w:rPr>
          <w:rFonts w:ascii="Times New Roman" w:hAnsi="Times New Roman" w:cs="Times New Roman"/>
          <w:sz w:val="28"/>
          <w:szCs w:val="28"/>
        </w:rPr>
      </w:pPr>
    </w:p>
    <w:p w14:paraId="7B6CAD9D"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 w:name="dst101271"/>
      <w:bookmarkEnd w:id="3"/>
      <w:r w:rsidRPr="00F02EF9">
        <w:rPr>
          <w:rFonts w:ascii="Times New Roman" w:hAnsi="Times New Roman" w:cs="Times New Roman"/>
          <w:sz w:val="28"/>
          <w:szCs w:val="28"/>
        </w:rPr>
        <w:lastRenderedPageBreak/>
        <w:t>Профессиональный участник рынка ценных бумаг, осуществляющий дилерскую деятельность, именуется дилером.</w:t>
      </w:r>
    </w:p>
    <w:p w14:paraId="134D5E24"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Дилером</w:t>
      </w:r>
      <w:r w:rsidRPr="00F02EF9">
        <w:rPr>
          <w:rFonts w:ascii="Times New Roman" w:hAnsi="Times New Roman" w:cs="Times New Roman"/>
          <w:sz w:val="28"/>
          <w:szCs w:val="28"/>
        </w:rPr>
        <w:t xml:space="preserve"> может быть только юридическое лицо, являющееся коммерческой организацией, а также государственная корпорация, если для такой корпорации возможность осуществления дилерской деятельности установлена федеральным законом, на основании которого она создана.</w:t>
      </w:r>
      <w:bookmarkStart w:id="4" w:name="dst100049"/>
      <w:bookmarkEnd w:id="4"/>
    </w:p>
    <w:p w14:paraId="6141A38B"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Кроме цены дилер имеет право объявить иные существенные условия договора купли-продажи ценных бумаг: минимальное и максимальное количество покупаемых и/или продаваемых ценных бумаг, а также срок, в течение которого действуют объявленные цены. При отсутствии в объявлении указания на иные существенные условия дилер обязан заключить договор на существенных условиях, предложенных его клиентом. В случае уклонения дилера от заключения договора к нему может быть предъявлен иск о принудительном заключении такого договора и/или о возмещении причиненных клиенту убытков.</w:t>
      </w:r>
    </w:p>
    <w:p w14:paraId="1A215988" w14:textId="2E2C04CE"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Деятельностью по управлению ценными бумагами</w:t>
      </w:r>
      <w:r w:rsidRPr="00F02EF9">
        <w:rPr>
          <w:rFonts w:ascii="Times New Roman" w:hAnsi="Times New Roman" w:cs="Times New Roman"/>
          <w:sz w:val="28"/>
          <w:szCs w:val="28"/>
        </w:rPr>
        <w:t xml:space="preserve"> признается деятельность по доверительному управлению ценными бумагами, денежными средствами, предназначенными для совершения сделок с ценными бумагами и (или) заключения договоров, являющихся производными финансовыми инструментами</w:t>
      </w:r>
    </w:p>
    <w:p w14:paraId="1DBC12F3"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5" w:name="dst100055"/>
      <w:bookmarkEnd w:id="5"/>
      <w:r w:rsidRPr="00F02EF9">
        <w:rPr>
          <w:rFonts w:ascii="Times New Roman" w:hAnsi="Times New Roman" w:cs="Times New Roman"/>
          <w:sz w:val="28"/>
          <w:szCs w:val="28"/>
        </w:rPr>
        <w:t>Профессиональный участник рынка ценных бумаг, осуществляющий деятельность по управлению ценными бумагами, именуется управляющим.</w:t>
      </w:r>
    </w:p>
    <w:p w14:paraId="532FBB29"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6" w:name="dst100706"/>
      <w:bookmarkEnd w:id="6"/>
      <w:r w:rsidRPr="00F02EF9">
        <w:rPr>
          <w:rFonts w:ascii="Times New Roman" w:hAnsi="Times New Roman" w:cs="Times New Roman"/>
          <w:sz w:val="28"/>
          <w:szCs w:val="28"/>
        </w:rPr>
        <w:t>Наличие лицензии на осуществление деятельности по управлению ценными бумагами не требуется в случае, если доверительное управление связано только с осуществлением управляющим прав по ценным бумагам.</w:t>
      </w:r>
    </w:p>
    <w:p w14:paraId="692BE74A"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7" w:name="dst100056"/>
      <w:bookmarkStart w:id="8" w:name="dst100057"/>
      <w:bookmarkEnd w:id="7"/>
      <w:bookmarkEnd w:id="8"/>
      <w:r w:rsidRPr="00F02EF9">
        <w:rPr>
          <w:rFonts w:ascii="Times New Roman" w:hAnsi="Times New Roman" w:cs="Times New Roman"/>
          <w:sz w:val="28"/>
          <w:szCs w:val="28"/>
        </w:rPr>
        <w:t>Управляющий при осуществлении своей деятельности обязан указывать, что он действует в качестве управляющего.</w:t>
      </w:r>
    </w:p>
    <w:p w14:paraId="44D2996D" w14:textId="77777777" w:rsidR="00F02EF9" w:rsidRDefault="00F02EF9" w:rsidP="00F02EF9">
      <w:pPr>
        <w:spacing w:after="0" w:line="360" w:lineRule="auto"/>
        <w:ind w:firstLine="709"/>
        <w:jc w:val="both"/>
        <w:rPr>
          <w:rFonts w:ascii="Times New Roman" w:hAnsi="Times New Roman" w:cs="Times New Roman"/>
          <w:sz w:val="28"/>
          <w:szCs w:val="28"/>
        </w:rPr>
      </w:pPr>
      <w:bookmarkStart w:id="9" w:name="dst100058"/>
      <w:bookmarkStart w:id="10" w:name="dst539"/>
      <w:bookmarkEnd w:id="9"/>
      <w:bookmarkEnd w:id="10"/>
      <w:r w:rsidRPr="00F02EF9">
        <w:rPr>
          <w:rFonts w:ascii="Times New Roman" w:hAnsi="Times New Roman" w:cs="Times New Roman"/>
          <w:sz w:val="28"/>
          <w:szCs w:val="28"/>
        </w:rPr>
        <w:t xml:space="preserve">Управляющий вправе при осуществлении деятельности по управлению ценными бумагами приобретать ценные бумаги, предназначенные для квалифицированных инвесторов, и заключать договоры, являющиеся </w:t>
      </w:r>
      <w:r w:rsidRPr="00F02EF9">
        <w:rPr>
          <w:rFonts w:ascii="Times New Roman" w:hAnsi="Times New Roman" w:cs="Times New Roman"/>
          <w:sz w:val="28"/>
          <w:szCs w:val="28"/>
        </w:rPr>
        <w:lastRenderedPageBreak/>
        <w:t>производными финансовыми инструментами, предназначенными для квалифицированных инвесторов, только при условии, что клиент является квалифицированным инвестором.</w:t>
      </w:r>
    </w:p>
    <w:p w14:paraId="5454E217" w14:textId="7441A6FE"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Депозитарной деятельностью</w:t>
      </w:r>
      <w:r w:rsidRPr="00F02EF9">
        <w:rPr>
          <w:rFonts w:ascii="Times New Roman" w:hAnsi="Times New Roman" w:cs="Times New Roman"/>
          <w:sz w:val="28"/>
          <w:szCs w:val="28"/>
        </w:rPr>
        <w:t xml:space="preserve"> признается оказание услуг по хранению сертификатов ценных бумаг и/или учету и переходу прав на ценные бумаги</w:t>
      </w:r>
      <w:r>
        <w:rPr>
          <w:rFonts w:ascii="Times New Roman" w:hAnsi="Times New Roman" w:cs="Times New Roman"/>
          <w:sz w:val="28"/>
          <w:szCs w:val="28"/>
        </w:rPr>
        <w:t>.</w:t>
      </w:r>
    </w:p>
    <w:p w14:paraId="4BA39A84"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1" w:name="dst627"/>
      <w:bookmarkEnd w:id="11"/>
      <w:r w:rsidRPr="00F02EF9">
        <w:rPr>
          <w:rFonts w:ascii="Times New Roman" w:hAnsi="Times New Roman" w:cs="Times New Roman"/>
          <w:sz w:val="28"/>
          <w:szCs w:val="28"/>
        </w:rPr>
        <w:t xml:space="preserve">Профессиональный участник рынка ценных бумаг, осуществляющий депозитарную деятельность, именуется </w:t>
      </w:r>
      <w:r w:rsidRPr="00F02EF9">
        <w:rPr>
          <w:rFonts w:ascii="Times New Roman" w:hAnsi="Times New Roman" w:cs="Times New Roman"/>
          <w:b/>
          <w:sz w:val="28"/>
          <w:szCs w:val="28"/>
        </w:rPr>
        <w:t>депозитарием</w:t>
      </w:r>
      <w:r w:rsidRPr="00F02EF9">
        <w:rPr>
          <w:rFonts w:ascii="Times New Roman" w:hAnsi="Times New Roman" w:cs="Times New Roman"/>
          <w:sz w:val="28"/>
          <w:szCs w:val="28"/>
        </w:rPr>
        <w:t xml:space="preserve">. </w:t>
      </w:r>
    </w:p>
    <w:p w14:paraId="5E6B94EA"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Депозитарий, осуществляющий расчеты по результатам сделок, совершенных на торгах организаторов торговли по соглашению с такими организаторами торговли и (или) с клиринговыми организациями, осуществляющими клиринг таких сделок, именуется расчетным депозитарием.</w:t>
      </w:r>
    </w:p>
    <w:p w14:paraId="603CC27A"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2" w:name="dst100066"/>
      <w:bookmarkEnd w:id="12"/>
      <w:r w:rsidRPr="00F02EF9">
        <w:rPr>
          <w:rFonts w:ascii="Times New Roman" w:hAnsi="Times New Roman" w:cs="Times New Roman"/>
          <w:sz w:val="28"/>
          <w:szCs w:val="28"/>
        </w:rPr>
        <w:t xml:space="preserve">Лицо, пользующееся услугами депозитария по хранению ценных бумаг и/или учету прав на ценные бумаги, именуется </w:t>
      </w:r>
      <w:r w:rsidRPr="00F02EF9">
        <w:rPr>
          <w:rFonts w:ascii="Times New Roman" w:hAnsi="Times New Roman" w:cs="Times New Roman"/>
          <w:b/>
          <w:sz w:val="28"/>
          <w:szCs w:val="28"/>
        </w:rPr>
        <w:t>депонентом</w:t>
      </w:r>
      <w:r w:rsidRPr="00F02EF9">
        <w:rPr>
          <w:rFonts w:ascii="Times New Roman" w:hAnsi="Times New Roman" w:cs="Times New Roman"/>
          <w:sz w:val="28"/>
          <w:szCs w:val="28"/>
        </w:rPr>
        <w:t>.</w:t>
      </w:r>
    </w:p>
    <w:p w14:paraId="15FDAAA0"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3" w:name="dst100067"/>
      <w:bookmarkEnd w:id="13"/>
      <w:r w:rsidRPr="00F02EF9">
        <w:rPr>
          <w:rFonts w:ascii="Times New Roman" w:hAnsi="Times New Roman" w:cs="Times New Roman"/>
          <w:sz w:val="28"/>
          <w:szCs w:val="28"/>
        </w:rPr>
        <w:t xml:space="preserve">Договор между депозитарием и депонентом, регулирующий их отношения в процессе депозитарной деятельности, именуется </w:t>
      </w:r>
      <w:r w:rsidRPr="00F02EF9">
        <w:rPr>
          <w:rFonts w:ascii="Times New Roman" w:hAnsi="Times New Roman" w:cs="Times New Roman"/>
          <w:b/>
          <w:sz w:val="28"/>
          <w:szCs w:val="28"/>
        </w:rPr>
        <w:t>депозитарным договором</w:t>
      </w:r>
      <w:r w:rsidRPr="00F02EF9">
        <w:rPr>
          <w:rFonts w:ascii="Times New Roman" w:hAnsi="Times New Roman" w:cs="Times New Roman"/>
          <w:sz w:val="28"/>
          <w:szCs w:val="28"/>
        </w:rPr>
        <w:t xml:space="preserve"> (договором о счете депо). </w:t>
      </w:r>
    </w:p>
    <w:p w14:paraId="3F87699B"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4" w:name="dst628"/>
      <w:bookmarkStart w:id="15" w:name="dst100072"/>
      <w:bookmarkEnd w:id="14"/>
      <w:bookmarkEnd w:id="15"/>
      <w:r w:rsidRPr="00F02EF9">
        <w:rPr>
          <w:rFonts w:ascii="Times New Roman" w:hAnsi="Times New Roman" w:cs="Times New Roman"/>
          <w:sz w:val="28"/>
          <w:szCs w:val="28"/>
        </w:rPr>
        <w:t>Депозитарный договор должен содержать следующие существенные условия:</w:t>
      </w:r>
    </w:p>
    <w:p w14:paraId="48EB42F7"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6" w:name="dst100073"/>
      <w:bookmarkEnd w:id="16"/>
      <w:r w:rsidRPr="00F02EF9">
        <w:rPr>
          <w:rFonts w:ascii="Times New Roman" w:hAnsi="Times New Roman" w:cs="Times New Roman"/>
          <w:sz w:val="28"/>
          <w:szCs w:val="28"/>
        </w:rPr>
        <w:t>а) однозначное определение предмета договора: предоставление услуг по хранению сертификатов ценных бумаг и/или учету прав на ценные бумаги;</w:t>
      </w:r>
    </w:p>
    <w:p w14:paraId="0474C78A"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7" w:name="dst100074"/>
      <w:bookmarkEnd w:id="17"/>
      <w:r w:rsidRPr="00F02EF9">
        <w:rPr>
          <w:rFonts w:ascii="Times New Roman" w:hAnsi="Times New Roman" w:cs="Times New Roman"/>
          <w:sz w:val="28"/>
          <w:szCs w:val="28"/>
        </w:rPr>
        <w:t>б) порядок передачи депонентом депозитарию информации о распоряжении депонированными в депозитарии ценными бумагами депонента;</w:t>
      </w:r>
    </w:p>
    <w:p w14:paraId="0F17A964"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8" w:name="dst100075"/>
      <w:bookmarkEnd w:id="18"/>
      <w:r w:rsidRPr="00F02EF9">
        <w:rPr>
          <w:rFonts w:ascii="Times New Roman" w:hAnsi="Times New Roman" w:cs="Times New Roman"/>
          <w:sz w:val="28"/>
          <w:szCs w:val="28"/>
        </w:rPr>
        <w:t>в) срок действия договора;</w:t>
      </w:r>
    </w:p>
    <w:p w14:paraId="19CA13E8"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19" w:name="dst100076"/>
      <w:bookmarkEnd w:id="19"/>
      <w:r w:rsidRPr="00F02EF9">
        <w:rPr>
          <w:rFonts w:ascii="Times New Roman" w:hAnsi="Times New Roman" w:cs="Times New Roman"/>
          <w:sz w:val="28"/>
          <w:szCs w:val="28"/>
        </w:rPr>
        <w:t>г) размер и порядок оплаты услуг депозитария, предусмотренных договором;</w:t>
      </w:r>
    </w:p>
    <w:p w14:paraId="786A760E"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0" w:name="dst100077"/>
      <w:bookmarkEnd w:id="20"/>
      <w:r w:rsidRPr="00F02EF9">
        <w:rPr>
          <w:rFonts w:ascii="Times New Roman" w:hAnsi="Times New Roman" w:cs="Times New Roman"/>
          <w:sz w:val="28"/>
          <w:szCs w:val="28"/>
        </w:rPr>
        <w:t>д) форму и периодичность отчетности депозитария перед депонентом;</w:t>
      </w:r>
    </w:p>
    <w:p w14:paraId="274001EE"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1" w:name="dst100078"/>
      <w:bookmarkEnd w:id="21"/>
      <w:r w:rsidRPr="00F02EF9">
        <w:rPr>
          <w:rFonts w:ascii="Times New Roman" w:hAnsi="Times New Roman" w:cs="Times New Roman"/>
          <w:sz w:val="28"/>
          <w:szCs w:val="28"/>
        </w:rPr>
        <w:t>е) обязанности депозитария.</w:t>
      </w:r>
    </w:p>
    <w:p w14:paraId="5D96D144"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2" w:name="dst100079"/>
      <w:bookmarkEnd w:id="22"/>
      <w:r w:rsidRPr="00F02EF9">
        <w:rPr>
          <w:rFonts w:ascii="Times New Roman" w:hAnsi="Times New Roman" w:cs="Times New Roman"/>
          <w:sz w:val="28"/>
          <w:szCs w:val="28"/>
        </w:rPr>
        <w:t>В обязанности депозитария входят:</w:t>
      </w:r>
    </w:p>
    <w:p w14:paraId="7DE6F451"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3" w:name="dst100080"/>
      <w:bookmarkEnd w:id="23"/>
      <w:r w:rsidRPr="00F02EF9">
        <w:rPr>
          <w:rFonts w:ascii="Times New Roman" w:hAnsi="Times New Roman" w:cs="Times New Roman"/>
          <w:sz w:val="28"/>
          <w:szCs w:val="28"/>
        </w:rPr>
        <w:lastRenderedPageBreak/>
        <w:t>- регистрация фактов обременения ценных бумаг депонента обязательствами;</w:t>
      </w:r>
    </w:p>
    <w:p w14:paraId="2037C6BB"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4" w:name="dst100081"/>
      <w:bookmarkEnd w:id="24"/>
      <w:r w:rsidRPr="00F02EF9">
        <w:rPr>
          <w:rFonts w:ascii="Times New Roman" w:hAnsi="Times New Roman" w:cs="Times New Roman"/>
          <w:sz w:val="28"/>
          <w:szCs w:val="28"/>
        </w:rPr>
        <w:t>- ведение отдельного от других счета депо депонента с указанием даты и основания каждой операции по счету;</w:t>
      </w:r>
    </w:p>
    <w:p w14:paraId="16CFBECA"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5" w:name="dst100082"/>
      <w:bookmarkEnd w:id="25"/>
      <w:r w:rsidRPr="00F02EF9">
        <w:rPr>
          <w:rFonts w:ascii="Times New Roman" w:hAnsi="Times New Roman" w:cs="Times New Roman"/>
          <w:sz w:val="28"/>
          <w:szCs w:val="28"/>
        </w:rPr>
        <w:t>- передача депоненту всей информации о ценных бумагах, полученной депозитарием от эмитента или держателя реестра владельцев ценных бумаг.</w:t>
      </w:r>
    </w:p>
    <w:p w14:paraId="3AD71078"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26" w:name="dst1575"/>
      <w:bookmarkEnd w:id="26"/>
      <w:r w:rsidRPr="00F02EF9">
        <w:rPr>
          <w:rFonts w:ascii="Times New Roman" w:hAnsi="Times New Roman" w:cs="Times New Roman"/>
          <w:sz w:val="28"/>
          <w:szCs w:val="28"/>
        </w:rPr>
        <w:t>Депозитарий имеет право регистрироваться в реестре владельцев ценных бумаг или у другого депозитария в качестве номинального держателя в соответствии с депозитарным договором.</w:t>
      </w:r>
    </w:p>
    <w:p w14:paraId="73E85A71" w14:textId="77777777" w:rsidR="00F02EF9" w:rsidRDefault="00F02EF9" w:rsidP="00F02EF9">
      <w:pPr>
        <w:spacing w:after="0" w:line="360" w:lineRule="auto"/>
        <w:ind w:firstLine="709"/>
        <w:jc w:val="both"/>
        <w:rPr>
          <w:rFonts w:ascii="Times New Roman" w:hAnsi="Times New Roman" w:cs="Times New Roman"/>
          <w:sz w:val="28"/>
          <w:szCs w:val="28"/>
        </w:rPr>
      </w:pPr>
      <w:bookmarkStart w:id="27" w:name="dst100084"/>
      <w:bookmarkEnd w:id="27"/>
      <w:r w:rsidRPr="00F02EF9">
        <w:rPr>
          <w:rFonts w:ascii="Times New Roman" w:hAnsi="Times New Roman" w:cs="Times New Roman"/>
          <w:sz w:val="28"/>
          <w:szCs w:val="28"/>
        </w:rPr>
        <w:t>Депозитарий несет ответственность за неисполнение или ненадлежащее исполнение своих обязанностей по учету прав на ценные бумаги, в том числе за полноту и правильность записей по счетам депо.</w:t>
      </w:r>
    </w:p>
    <w:p w14:paraId="679F9133" w14:textId="1402ADEC"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 xml:space="preserve">Деятельностью по ведению реестра владельцев ценных бумаг </w:t>
      </w:r>
      <w:r w:rsidRPr="00F02EF9">
        <w:rPr>
          <w:rFonts w:ascii="Times New Roman" w:hAnsi="Times New Roman" w:cs="Times New Roman"/>
          <w:sz w:val="28"/>
          <w:szCs w:val="28"/>
        </w:rPr>
        <w:t>признаются сбор, фиксация, обработка, хранение данных, составляющих реестр владельцев ценных бумаг, и предоставление информации из реестра владельцев ценных бумаг</w:t>
      </w:r>
      <w:r>
        <w:rPr>
          <w:rFonts w:ascii="Times New Roman" w:hAnsi="Times New Roman" w:cs="Times New Roman"/>
          <w:sz w:val="28"/>
          <w:szCs w:val="28"/>
        </w:rPr>
        <w:t>.</w:t>
      </w:r>
    </w:p>
    <w:p w14:paraId="1AE90696" w14:textId="77777777" w:rsidR="00F02EF9" w:rsidRPr="00F02EF9" w:rsidRDefault="00F02EF9" w:rsidP="00F02EF9">
      <w:pPr>
        <w:spacing w:after="0" w:line="360" w:lineRule="auto"/>
        <w:ind w:firstLine="709"/>
        <w:rPr>
          <w:rFonts w:ascii="Times New Roman" w:hAnsi="Times New Roman" w:cs="Times New Roman"/>
          <w:sz w:val="28"/>
          <w:szCs w:val="28"/>
        </w:rPr>
      </w:pPr>
      <w:bookmarkStart w:id="28" w:name="dst100088"/>
      <w:bookmarkEnd w:id="28"/>
      <w:r w:rsidRPr="00F02EF9">
        <w:rPr>
          <w:rFonts w:ascii="Times New Roman" w:hAnsi="Times New Roman" w:cs="Times New Roman"/>
          <w:sz w:val="28"/>
          <w:szCs w:val="28"/>
        </w:rPr>
        <w:t>Деятельностью по ведению реестра владельцев ценных бумаг имеют право заниматься только юридические лица.</w:t>
      </w:r>
    </w:p>
    <w:p w14:paraId="78AE76A4" w14:textId="77777777" w:rsidR="00F02EF9" w:rsidRPr="00F02EF9" w:rsidRDefault="00F02EF9" w:rsidP="00F02EF9">
      <w:pPr>
        <w:spacing w:after="0" w:line="360" w:lineRule="auto"/>
        <w:ind w:firstLine="709"/>
        <w:rPr>
          <w:rFonts w:ascii="Times New Roman" w:hAnsi="Times New Roman" w:cs="Times New Roman"/>
          <w:sz w:val="28"/>
          <w:szCs w:val="28"/>
        </w:rPr>
      </w:pPr>
      <w:bookmarkStart w:id="29" w:name="dst1800"/>
      <w:bookmarkEnd w:id="29"/>
      <w:r w:rsidRPr="00F02EF9">
        <w:rPr>
          <w:rFonts w:ascii="Times New Roman" w:hAnsi="Times New Roman" w:cs="Times New Roman"/>
          <w:sz w:val="28"/>
          <w:szCs w:val="28"/>
        </w:rPr>
        <w:t xml:space="preserve">Лицо, осуществляющее деятельность по ведению реестра, именуется </w:t>
      </w:r>
      <w:r w:rsidRPr="00F02EF9">
        <w:rPr>
          <w:rFonts w:ascii="Times New Roman" w:hAnsi="Times New Roman" w:cs="Times New Roman"/>
          <w:b/>
          <w:sz w:val="28"/>
          <w:szCs w:val="28"/>
        </w:rPr>
        <w:t>держателем реестра</w:t>
      </w:r>
      <w:r w:rsidRPr="00F02EF9">
        <w:rPr>
          <w:rFonts w:ascii="Times New Roman" w:hAnsi="Times New Roman" w:cs="Times New Roman"/>
          <w:sz w:val="28"/>
          <w:szCs w:val="28"/>
        </w:rPr>
        <w:t>. Держателем реестра по поручению эмитента или лица, обязанного по ценным бумагам, может быть профессиональный участник рынка ценных бумаг, имеющий лицензию на осуществление деятельности по ведению реестра.</w:t>
      </w:r>
    </w:p>
    <w:p w14:paraId="580A5CB9" w14:textId="77777777" w:rsidR="00F02EF9" w:rsidRPr="00F02EF9" w:rsidRDefault="00F02EF9" w:rsidP="00F02EF9">
      <w:pPr>
        <w:spacing w:after="0" w:line="360" w:lineRule="auto"/>
        <w:ind w:firstLine="709"/>
        <w:rPr>
          <w:rFonts w:ascii="Times New Roman" w:hAnsi="Times New Roman" w:cs="Times New Roman"/>
          <w:sz w:val="28"/>
          <w:szCs w:val="28"/>
        </w:rPr>
      </w:pPr>
      <w:bookmarkStart w:id="30" w:name="dst631"/>
      <w:bookmarkStart w:id="31" w:name="dst1801"/>
      <w:bookmarkEnd w:id="30"/>
      <w:bookmarkEnd w:id="31"/>
      <w:r w:rsidRPr="00F02EF9">
        <w:rPr>
          <w:rFonts w:ascii="Times New Roman" w:hAnsi="Times New Roman" w:cs="Times New Roman"/>
          <w:sz w:val="28"/>
          <w:szCs w:val="28"/>
        </w:rPr>
        <w:t>Реестр владельцев ценных бумаг - формируемая на определенный момент времени система записей о лицах, которым открыты лицевые счета, записей о ценных бумагах, учитываемых на указанных счетах, записей об обременении ценных бумаг и иных записей в соответствии с законодательством Российской Федерации.</w:t>
      </w:r>
    </w:p>
    <w:p w14:paraId="20941BD2" w14:textId="77777777" w:rsidR="00F02EF9" w:rsidRPr="00F02EF9" w:rsidRDefault="00F02EF9" w:rsidP="00F02EF9">
      <w:pPr>
        <w:spacing w:after="0" w:line="360" w:lineRule="auto"/>
        <w:ind w:firstLine="709"/>
        <w:rPr>
          <w:rFonts w:ascii="Times New Roman" w:hAnsi="Times New Roman" w:cs="Times New Roman"/>
          <w:sz w:val="28"/>
          <w:szCs w:val="28"/>
        </w:rPr>
      </w:pPr>
      <w:bookmarkStart w:id="32" w:name="dst2038"/>
      <w:bookmarkEnd w:id="32"/>
      <w:r w:rsidRPr="00F02EF9">
        <w:rPr>
          <w:rFonts w:ascii="Times New Roman" w:hAnsi="Times New Roman" w:cs="Times New Roman"/>
          <w:sz w:val="28"/>
          <w:szCs w:val="28"/>
        </w:rPr>
        <w:t>В обязанности держателя реестра входит:</w:t>
      </w:r>
    </w:p>
    <w:p w14:paraId="6CFC0F5E" w14:textId="77777777" w:rsidR="00F02EF9" w:rsidRPr="00F02EF9" w:rsidRDefault="00F02EF9" w:rsidP="00F02EF9">
      <w:pPr>
        <w:spacing w:after="0" w:line="360" w:lineRule="auto"/>
        <w:ind w:firstLine="709"/>
        <w:rPr>
          <w:rFonts w:ascii="Times New Roman" w:hAnsi="Times New Roman" w:cs="Times New Roman"/>
          <w:sz w:val="28"/>
          <w:szCs w:val="28"/>
        </w:rPr>
      </w:pPr>
      <w:bookmarkStart w:id="33" w:name="dst2039"/>
      <w:bookmarkEnd w:id="33"/>
      <w:r w:rsidRPr="00F02EF9">
        <w:rPr>
          <w:rFonts w:ascii="Times New Roman" w:hAnsi="Times New Roman" w:cs="Times New Roman"/>
          <w:sz w:val="28"/>
          <w:szCs w:val="28"/>
        </w:rPr>
        <w:t>1) открывать и вести лицевые и иные счета;</w:t>
      </w:r>
    </w:p>
    <w:p w14:paraId="1CE67F50"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4" w:name="dst2040"/>
      <w:bookmarkEnd w:id="34"/>
      <w:r w:rsidRPr="00F02EF9">
        <w:rPr>
          <w:rFonts w:ascii="Times New Roman" w:hAnsi="Times New Roman" w:cs="Times New Roman"/>
          <w:sz w:val="28"/>
          <w:szCs w:val="28"/>
        </w:rPr>
        <w:lastRenderedPageBreak/>
        <w:t>2) предоставлять зарегистрированному лицу, на лицевом счете которого учитывается более одного процента голосующих акций эмитента, информацию из реестра об имени (наименовании) зарегистрированных лиц и о количестве акций каждой категории (каждого типа), учитываемых на их лицевых счетах;</w:t>
      </w:r>
    </w:p>
    <w:p w14:paraId="51AEE4C5"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5" w:name="dst2041"/>
      <w:bookmarkEnd w:id="35"/>
      <w:r w:rsidRPr="00F02EF9">
        <w:rPr>
          <w:rFonts w:ascii="Times New Roman" w:hAnsi="Times New Roman" w:cs="Times New Roman"/>
          <w:sz w:val="28"/>
          <w:szCs w:val="28"/>
        </w:rPr>
        <w:t>3) информировать зарегистрированных лиц по их требованию о правах, закрепленных ценными бумагами, способах и порядке осуществления этих прав;</w:t>
      </w:r>
    </w:p>
    <w:p w14:paraId="3D8B490F"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6" w:name="dst2042"/>
      <w:bookmarkEnd w:id="36"/>
      <w:r w:rsidRPr="00F02EF9">
        <w:rPr>
          <w:rFonts w:ascii="Times New Roman" w:hAnsi="Times New Roman" w:cs="Times New Roman"/>
          <w:sz w:val="28"/>
          <w:szCs w:val="28"/>
        </w:rPr>
        <w:t>4) предоставлять зарегистрированному лицу по его требованию </w:t>
      </w:r>
      <w:hyperlink r:id="rId6" w:anchor="dst100576" w:history="1">
        <w:r w:rsidRPr="00F02EF9">
          <w:rPr>
            <w:rStyle w:val="a4"/>
            <w:rFonts w:ascii="Times New Roman" w:hAnsi="Times New Roman" w:cs="Times New Roman"/>
            <w:sz w:val="28"/>
            <w:szCs w:val="28"/>
          </w:rPr>
          <w:t>выписку</w:t>
        </w:r>
      </w:hyperlink>
      <w:r w:rsidRPr="00F02EF9">
        <w:rPr>
          <w:rFonts w:ascii="Times New Roman" w:hAnsi="Times New Roman" w:cs="Times New Roman"/>
          <w:sz w:val="28"/>
          <w:szCs w:val="28"/>
        </w:rPr>
        <w:t> из реестра по его лицевому счету;</w:t>
      </w:r>
    </w:p>
    <w:p w14:paraId="237EA914"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7" w:name="dst2043"/>
      <w:bookmarkEnd w:id="37"/>
      <w:r w:rsidRPr="00F02EF9">
        <w:rPr>
          <w:rFonts w:ascii="Times New Roman" w:hAnsi="Times New Roman" w:cs="Times New Roman"/>
          <w:sz w:val="28"/>
          <w:szCs w:val="28"/>
        </w:rPr>
        <w:t>5) незамедлительно опубликовывать информацию об утрате учетных записей, удостоверяющих права на ценные бумаги, в средствах массовой информации, в которых подлежат опубликованию сведения о банкротстве, и обращаться в суд с заявлением о восстановлении данных учета прав на ценные бумаги.</w:t>
      </w:r>
    </w:p>
    <w:p w14:paraId="4D293BEE"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38" w:name="dst2044"/>
      <w:bookmarkStart w:id="39" w:name="dst2056"/>
      <w:bookmarkEnd w:id="38"/>
      <w:bookmarkEnd w:id="39"/>
      <w:r w:rsidRPr="00F02EF9">
        <w:rPr>
          <w:rFonts w:ascii="Times New Roman" w:hAnsi="Times New Roman" w:cs="Times New Roman"/>
          <w:sz w:val="28"/>
          <w:szCs w:val="28"/>
        </w:rPr>
        <w:t>Эмитент (лицо, обязанное по ценным бумагам) и держатель реестра несут солидарную ответственность за убытки, причиненные в результате нарушения порядка учета прав, порядка совершения операций по счетам (порядка ведения реестра), утраты учетных данных, предоставления из реестра неполной или недостоверной информации.</w:t>
      </w:r>
    </w:p>
    <w:p w14:paraId="41ED073B" w14:textId="77777777" w:rsidR="00F02EF9" w:rsidRPr="00F02EF9" w:rsidRDefault="00F02EF9" w:rsidP="00F02EF9">
      <w:pPr>
        <w:spacing w:after="0" w:line="360" w:lineRule="auto"/>
        <w:ind w:firstLine="709"/>
        <w:jc w:val="both"/>
        <w:rPr>
          <w:rFonts w:ascii="Times New Roman" w:hAnsi="Times New Roman" w:cs="Times New Roman"/>
          <w:sz w:val="28"/>
          <w:szCs w:val="28"/>
        </w:rPr>
      </w:pPr>
      <w:bookmarkStart w:id="40" w:name="dst2057"/>
      <w:bookmarkEnd w:id="40"/>
      <w:r w:rsidRPr="00F02EF9">
        <w:rPr>
          <w:rFonts w:ascii="Times New Roman" w:hAnsi="Times New Roman" w:cs="Times New Roman"/>
          <w:sz w:val="28"/>
          <w:szCs w:val="28"/>
        </w:rPr>
        <w:t xml:space="preserve">Основу фондового рынка составляет </w:t>
      </w:r>
      <w:r w:rsidRPr="00F02EF9">
        <w:rPr>
          <w:rFonts w:ascii="Times New Roman" w:hAnsi="Times New Roman" w:cs="Times New Roman"/>
          <w:b/>
          <w:sz w:val="28"/>
          <w:szCs w:val="28"/>
        </w:rPr>
        <w:t>биржа</w:t>
      </w:r>
      <w:r w:rsidRPr="00F02EF9">
        <w:rPr>
          <w:rFonts w:ascii="Times New Roman" w:hAnsi="Times New Roman" w:cs="Times New Roman"/>
          <w:sz w:val="28"/>
          <w:szCs w:val="28"/>
        </w:rPr>
        <w:t>, на которой осуществляются сделки только с зарегистрированными (котируемыми) на ней фондовыми активами и инструментами. Спектр таких финансовых ценностей в настоящее время существенно расширяется. К ним уже относят не только сами ценные бумаги, но и валюты, и драгоценные металлы, контракты, кредитные соглашения, а также различные гибридные инструменты, создаваемые на основе других ценных бумаг, валют и контрактов (например, фьючерсы и опционы).</w:t>
      </w:r>
    </w:p>
    <w:p w14:paraId="61BD6E26" w14:textId="77777777" w:rsid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
          <w:sz w:val="28"/>
          <w:szCs w:val="28"/>
        </w:rPr>
        <w:t>Фондовая биржа</w:t>
      </w:r>
      <w:r w:rsidRPr="00F02EF9">
        <w:rPr>
          <w:rFonts w:ascii="Times New Roman" w:hAnsi="Times New Roman" w:cs="Times New Roman"/>
          <w:sz w:val="28"/>
          <w:szCs w:val="28"/>
        </w:rPr>
        <w:t xml:space="preserve"> – представляет собой организованный особым образом аукционный рынок ценных бумаг, регулярно функционирующий, с </w:t>
      </w:r>
      <w:r w:rsidRPr="00F02EF9">
        <w:rPr>
          <w:rFonts w:ascii="Times New Roman" w:hAnsi="Times New Roman" w:cs="Times New Roman"/>
          <w:sz w:val="28"/>
          <w:szCs w:val="28"/>
        </w:rPr>
        <w:lastRenderedPageBreak/>
        <w:t>постоянным местом и временем заключения сделок; посредническую организацию, цель которой – налаживание нормального обмена ценных бумаг</w:t>
      </w:r>
      <w:r>
        <w:rPr>
          <w:rFonts w:ascii="Times New Roman" w:hAnsi="Times New Roman" w:cs="Times New Roman"/>
          <w:sz w:val="28"/>
          <w:szCs w:val="28"/>
        </w:rPr>
        <w:t>.</w:t>
      </w:r>
    </w:p>
    <w:p w14:paraId="0AA48613" w14:textId="49BFE4E8"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Первой в современной России в мае 1990 года была создана Московская Товарная биржа. В 1991 году в России работали уже более ста бирж, это около половины от существующих в то время бирж во всем мире. В 1992 г. создана основная биржевая фондовая площадка ММВБ, а в июле 1995 г. появился современный рынок РТС. В 2010 г. эти биржи объявили о слиянии и уже в декабре 2011 г. на их основе создана крупнейшая в России интегрированная биржевая структура, переименованная в Московскую биржу.</w:t>
      </w:r>
    </w:p>
    <w:p w14:paraId="64B84FBB"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Сегодня биржа и другие институциональные участники организованного рынка ценных бу</w:t>
      </w:r>
      <w:r w:rsidRPr="00F02EF9">
        <w:rPr>
          <w:rFonts w:ascii="Times New Roman" w:hAnsi="Times New Roman" w:cs="Times New Roman"/>
          <w:sz w:val="28"/>
          <w:szCs w:val="28"/>
        </w:rPr>
        <w:softHyphen/>
        <w:t>маг в России формируют систему с очень высокой степенью регламентированности, прозрачности и упо</w:t>
      </w:r>
      <w:r w:rsidRPr="00F02EF9">
        <w:rPr>
          <w:rFonts w:ascii="Times New Roman" w:hAnsi="Times New Roman" w:cs="Times New Roman"/>
          <w:sz w:val="28"/>
          <w:szCs w:val="28"/>
        </w:rPr>
        <w:softHyphen/>
        <w:t>рядоченности операций. Что, в первую очередь, направлено на защиту интересов инвесторов.</w:t>
      </w:r>
    </w:p>
    <w:p w14:paraId="0DD7A80E"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Cs/>
          <w:sz w:val="28"/>
          <w:szCs w:val="28"/>
        </w:rPr>
        <w:t>Фондовая биржа</w:t>
      </w:r>
      <w:r w:rsidRPr="00F02EF9">
        <w:rPr>
          <w:rFonts w:ascii="Times New Roman" w:hAnsi="Times New Roman" w:cs="Times New Roman"/>
          <w:sz w:val="28"/>
          <w:szCs w:val="28"/>
        </w:rPr>
        <w:t> </w:t>
      </w:r>
      <w:proofErr w:type="gramStart"/>
      <w:r w:rsidRPr="00F02EF9">
        <w:rPr>
          <w:rFonts w:ascii="Times New Roman" w:hAnsi="Times New Roman" w:cs="Times New Roman"/>
          <w:sz w:val="28"/>
          <w:szCs w:val="28"/>
        </w:rPr>
        <w:t>- это</w:t>
      </w:r>
      <w:proofErr w:type="gramEnd"/>
      <w:r w:rsidRPr="00F02EF9">
        <w:rPr>
          <w:rFonts w:ascii="Times New Roman" w:hAnsi="Times New Roman" w:cs="Times New Roman"/>
          <w:sz w:val="28"/>
          <w:szCs w:val="28"/>
        </w:rPr>
        <w:t xml:space="preserve"> организация, которая предоставляет площадку и инфраструктуру для проведения организованной торговли ценными бумагами и другими финансовыми активами. В 21 веке биржа </w:t>
      </w:r>
      <w:proofErr w:type="gramStart"/>
      <w:r w:rsidRPr="00F02EF9">
        <w:rPr>
          <w:rFonts w:ascii="Times New Roman" w:hAnsi="Times New Roman" w:cs="Times New Roman"/>
          <w:sz w:val="28"/>
          <w:szCs w:val="28"/>
        </w:rPr>
        <w:t>- это</w:t>
      </w:r>
      <w:proofErr w:type="gramEnd"/>
      <w:r w:rsidRPr="00F02EF9">
        <w:rPr>
          <w:rFonts w:ascii="Times New Roman" w:hAnsi="Times New Roman" w:cs="Times New Roman"/>
          <w:sz w:val="28"/>
          <w:szCs w:val="28"/>
        </w:rPr>
        <w:t xml:space="preserve">, в первую очередь, высокотехнологичная компания, основу работы которой составляют сервера, высокоскоростное и защищенное оборудование, новейшее программное обеспечение. </w:t>
      </w:r>
    </w:p>
    <w:p w14:paraId="2556E2E0"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 Стратегическая задача биржи </w:t>
      </w:r>
      <w:proofErr w:type="gramStart"/>
      <w:r w:rsidRPr="00F02EF9">
        <w:rPr>
          <w:rFonts w:ascii="Times New Roman" w:hAnsi="Times New Roman" w:cs="Times New Roman"/>
          <w:sz w:val="28"/>
          <w:szCs w:val="28"/>
        </w:rPr>
        <w:t>- это</w:t>
      </w:r>
      <w:proofErr w:type="gramEnd"/>
      <w:r w:rsidRPr="00F02EF9">
        <w:rPr>
          <w:rFonts w:ascii="Times New Roman" w:hAnsi="Times New Roman" w:cs="Times New Roman"/>
          <w:sz w:val="28"/>
          <w:szCs w:val="28"/>
        </w:rPr>
        <w:t xml:space="preserve"> поддержание ликвидности рынка. Ликвидный рынок подразумевает высокую частоту сделок, значительные торговые обороты, что приводит к плавному движению цен и низким спредам (разница между ценой покупки и продажи в один и тот же момент времени). Низкая ликвидность рынка, наоборот, ведет к напряженности среди участников биржи, страху, что актив некому будет реализовать и возникновени</w:t>
      </w:r>
      <w:r w:rsidRPr="00F02EF9">
        <w:rPr>
          <w:rFonts w:ascii="Times New Roman" w:hAnsi="Times New Roman" w:cs="Times New Roman"/>
          <w:sz w:val="28"/>
          <w:szCs w:val="28"/>
        </w:rPr>
        <w:softHyphen/>
        <w:t>ю негативных ожиданий и панических настроений участников биржевой торговли.</w:t>
      </w:r>
    </w:p>
    <w:p w14:paraId="114A7149"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Именно поэтому деятельность биржи строго регламентирована. При этом собственники бир</w:t>
      </w:r>
      <w:r w:rsidRPr="00F02EF9">
        <w:rPr>
          <w:rFonts w:ascii="Times New Roman" w:hAnsi="Times New Roman" w:cs="Times New Roman"/>
          <w:sz w:val="28"/>
          <w:szCs w:val="28"/>
        </w:rPr>
        <w:softHyphen/>
        <w:t xml:space="preserve">жи не имеют права извлекать и получать какие-либо </w:t>
      </w:r>
      <w:r w:rsidRPr="00F02EF9">
        <w:rPr>
          <w:rFonts w:ascii="Times New Roman" w:hAnsi="Times New Roman" w:cs="Times New Roman"/>
          <w:sz w:val="28"/>
          <w:szCs w:val="28"/>
        </w:rPr>
        <w:lastRenderedPageBreak/>
        <w:t>доходы от купли-продажи финансовых активов на бирже. Это обеспечивает беспристрастность биржи относительно цен самих активов. В тоже самое время биржа зарабатывает на комиссионных и в случае, если на бирже высокая ликвидность и много участников торгов, биржа будет довольно прибыльной организацией (пример – Нью-Йоркская фондовая биржа, Московская биржа и т.д.).</w:t>
      </w:r>
    </w:p>
    <w:p w14:paraId="6FE8C30D"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Торговать на фондовой бирже имеют право лишь специальные, аккредитованные участники - брокеры, дилеры, управляющие компании, имеющие соответствующие лицензии. В свою очередь частные и институциональные инвесторы и трейдеры, желающие торговать на фондовой бирже, участвуют в биржевой торговле опос</w:t>
      </w:r>
      <w:r w:rsidRPr="00F02EF9">
        <w:rPr>
          <w:rFonts w:ascii="Times New Roman" w:hAnsi="Times New Roman" w:cs="Times New Roman"/>
          <w:sz w:val="28"/>
          <w:szCs w:val="28"/>
        </w:rPr>
        <w:softHyphen/>
        <w:t>редованно через данные аккредитованные организации, выступающие посредниками. Для этого достаточно открыть счет в данной организации.</w:t>
      </w:r>
    </w:p>
    <w:p w14:paraId="4F8FB924"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В настоящее время в России функционирует несколько фондовых бирж. Однако реальный основной объем торгов фондовыми ценностями сосредоточен фактически на двух биржах:</w:t>
      </w:r>
    </w:p>
    <w:p w14:paraId="57BE77D0" w14:textId="77777777" w:rsidR="00F02EF9" w:rsidRPr="00F02EF9" w:rsidRDefault="00F02EF9" w:rsidP="00F02EF9">
      <w:pPr>
        <w:numPr>
          <w:ilvl w:val="0"/>
          <w:numId w:val="2"/>
        </w:numPr>
        <w:spacing w:after="0" w:line="360" w:lineRule="auto"/>
        <w:jc w:val="both"/>
        <w:rPr>
          <w:rFonts w:ascii="Times New Roman" w:hAnsi="Times New Roman" w:cs="Times New Roman"/>
          <w:sz w:val="28"/>
          <w:szCs w:val="28"/>
        </w:rPr>
      </w:pPr>
      <w:r w:rsidRPr="00F02EF9">
        <w:rPr>
          <w:rFonts w:ascii="Times New Roman" w:hAnsi="Times New Roman" w:cs="Times New Roman"/>
          <w:sz w:val="28"/>
          <w:szCs w:val="28"/>
        </w:rPr>
        <w:t>ПАО «Московская биржа».</w:t>
      </w:r>
    </w:p>
    <w:p w14:paraId="41074951"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bCs/>
          <w:sz w:val="28"/>
          <w:szCs w:val="28"/>
        </w:rPr>
        <w:t>Группа «Московская Биржа»</w:t>
      </w:r>
      <w:r w:rsidRPr="00F02EF9">
        <w:rPr>
          <w:rFonts w:ascii="Times New Roman" w:hAnsi="Times New Roman" w:cs="Times New Roman"/>
          <w:sz w:val="28"/>
          <w:szCs w:val="28"/>
        </w:rPr>
        <w:t> включает в себя ПАО Московская биржа, которое управляет единственной в России многофункциональной биржевой площадкой по торговле акциями, облигациями, производными инструментами, валютой, инструментами денежного рынка и товарами. В состав Группы также входит </w:t>
      </w:r>
      <w:hyperlink r:id="rId7" w:history="1">
        <w:r w:rsidRPr="00F02EF9">
          <w:rPr>
            <w:rStyle w:val="a4"/>
            <w:rFonts w:ascii="Times New Roman" w:hAnsi="Times New Roman" w:cs="Times New Roman"/>
            <w:bCs/>
            <w:color w:val="auto"/>
            <w:sz w:val="28"/>
            <w:szCs w:val="28"/>
            <w:u w:val="none"/>
          </w:rPr>
          <w:t>центральный депозитарий</w:t>
        </w:r>
      </w:hyperlink>
      <w:r w:rsidRPr="00F02EF9">
        <w:rPr>
          <w:rFonts w:ascii="Times New Roman" w:hAnsi="Times New Roman" w:cs="Times New Roman"/>
          <w:sz w:val="28"/>
          <w:szCs w:val="28"/>
        </w:rPr>
        <w:t> (НКО АО «Национальный расчетный депозитарий»), а также </w:t>
      </w:r>
      <w:hyperlink r:id="rId8" w:history="1">
        <w:r w:rsidRPr="00F02EF9">
          <w:rPr>
            <w:rStyle w:val="a4"/>
            <w:rFonts w:ascii="Times New Roman" w:hAnsi="Times New Roman" w:cs="Times New Roman"/>
            <w:bCs/>
            <w:color w:val="auto"/>
            <w:sz w:val="28"/>
            <w:szCs w:val="28"/>
            <w:u w:val="none"/>
          </w:rPr>
          <w:t>клиринговый центр</w:t>
        </w:r>
      </w:hyperlink>
      <w:r w:rsidRPr="00F02EF9">
        <w:rPr>
          <w:rFonts w:ascii="Times New Roman" w:hAnsi="Times New Roman" w:cs="Times New Roman"/>
          <w:sz w:val="28"/>
          <w:szCs w:val="28"/>
        </w:rPr>
        <w:t> (НКО НКЦ (АО)), выполняющий функции центрального контрагента на рынках, что позволяет Московской бирже оказывать клиентам полный цикл торговых и пост-трейдинговых услуг.</w:t>
      </w:r>
    </w:p>
    <w:p w14:paraId="4F9491B3"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Московская биржа была образована в декабре 2011 года в результате слияния двух основных российских биржевых групп - Группы ММВБ (год основания 1992) и Группы РТС (год основания 1995). Возникшая в результате слияния вертикально интегрированная структура, обеспечивающая </w:t>
      </w:r>
      <w:r w:rsidRPr="00F02EF9">
        <w:rPr>
          <w:rFonts w:ascii="Times New Roman" w:hAnsi="Times New Roman" w:cs="Times New Roman"/>
          <w:sz w:val="28"/>
          <w:szCs w:val="28"/>
        </w:rPr>
        <w:lastRenderedPageBreak/>
        <w:t>возможность торговли всеми основными категориями активов, была переименована в Московскую биржу. Московская биржа провела первичное публичное размещение своих акций 15 февраля 2013 года на собственной торговой площадке (торговый код </w:t>
      </w:r>
      <w:hyperlink r:id="rId9" w:history="1">
        <w:r w:rsidRPr="00F02EF9">
          <w:rPr>
            <w:rStyle w:val="a4"/>
            <w:rFonts w:ascii="Times New Roman" w:hAnsi="Times New Roman" w:cs="Times New Roman"/>
            <w:bCs/>
            <w:color w:val="auto"/>
            <w:sz w:val="28"/>
            <w:szCs w:val="28"/>
            <w:u w:val="none"/>
          </w:rPr>
          <w:t>MOEX</w:t>
        </w:r>
      </w:hyperlink>
      <w:r w:rsidRPr="00F02EF9">
        <w:rPr>
          <w:rFonts w:ascii="Times New Roman" w:hAnsi="Times New Roman" w:cs="Times New Roman"/>
          <w:sz w:val="28"/>
          <w:szCs w:val="28"/>
        </w:rPr>
        <w:t>).</w:t>
      </w:r>
    </w:p>
    <w:p w14:paraId="11A661BD"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С октября 2013 года проводятся торги </w:t>
      </w:r>
      <w:hyperlink r:id="rId10" w:history="1">
        <w:r w:rsidRPr="00F02EF9">
          <w:rPr>
            <w:rStyle w:val="a4"/>
            <w:rFonts w:ascii="Times New Roman" w:hAnsi="Times New Roman" w:cs="Times New Roman"/>
            <w:bCs/>
            <w:color w:val="auto"/>
            <w:sz w:val="28"/>
            <w:szCs w:val="28"/>
            <w:u w:val="none"/>
          </w:rPr>
          <w:t>золотом и серебром</w:t>
        </w:r>
      </w:hyperlink>
      <w:r w:rsidRPr="00F02EF9">
        <w:rPr>
          <w:rFonts w:ascii="Times New Roman" w:hAnsi="Times New Roman" w:cs="Times New Roman"/>
          <w:b/>
          <w:sz w:val="28"/>
          <w:szCs w:val="28"/>
        </w:rPr>
        <w:t xml:space="preserve">. </w:t>
      </w:r>
      <w:r w:rsidRPr="00F02EF9">
        <w:rPr>
          <w:rFonts w:ascii="Times New Roman" w:hAnsi="Times New Roman" w:cs="Times New Roman"/>
          <w:sz w:val="28"/>
          <w:szCs w:val="28"/>
        </w:rPr>
        <w:t>На платформе </w:t>
      </w:r>
      <w:hyperlink r:id="rId11" w:history="1">
        <w:r w:rsidRPr="00F02EF9">
          <w:rPr>
            <w:rStyle w:val="a4"/>
            <w:rFonts w:ascii="Times New Roman" w:hAnsi="Times New Roman" w:cs="Times New Roman"/>
            <w:bCs/>
            <w:color w:val="auto"/>
            <w:sz w:val="28"/>
            <w:szCs w:val="28"/>
            <w:u w:val="none"/>
          </w:rPr>
          <w:t>АО «Национальная товарная биржа</w:t>
        </w:r>
      </w:hyperlink>
      <w:r w:rsidRPr="00F02EF9">
        <w:rPr>
          <w:rFonts w:ascii="Times New Roman" w:hAnsi="Times New Roman" w:cs="Times New Roman"/>
          <w:b/>
          <w:sz w:val="28"/>
          <w:szCs w:val="28"/>
        </w:rPr>
        <w:t>»,</w:t>
      </w:r>
      <w:r w:rsidRPr="00F02EF9">
        <w:rPr>
          <w:rFonts w:ascii="Times New Roman" w:hAnsi="Times New Roman" w:cs="Times New Roman"/>
          <w:sz w:val="28"/>
          <w:szCs w:val="28"/>
        </w:rPr>
        <w:t xml:space="preserve"> которое является уполномоченной биржей Минсельхоза России, осуществляются государственные закупочные интервенции на рынке зерна.</w:t>
      </w:r>
    </w:p>
    <w:p w14:paraId="37003DBE" w14:textId="77777777" w:rsidR="00F02EF9" w:rsidRPr="00F02EF9" w:rsidRDefault="00F02EF9" w:rsidP="00F02EF9">
      <w:pPr>
        <w:numPr>
          <w:ilvl w:val="0"/>
          <w:numId w:val="2"/>
        </w:numPr>
        <w:spacing w:after="0" w:line="360" w:lineRule="auto"/>
        <w:jc w:val="both"/>
        <w:rPr>
          <w:rFonts w:ascii="Times New Roman" w:hAnsi="Times New Roman" w:cs="Times New Roman"/>
          <w:sz w:val="28"/>
          <w:szCs w:val="28"/>
        </w:rPr>
      </w:pPr>
      <w:r w:rsidRPr="00F02EF9">
        <w:rPr>
          <w:rFonts w:ascii="Times New Roman" w:hAnsi="Times New Roman" w:cs="Times New Roman"/>
          <w:sz w:val="28"/>
          <w:szCs w:val="28"/>
        </w:rPr>
        <w:t>ПАО «Санкт-Петербургская биржа».</w:t>
      </w:r>
    </w:p>
    <w:p w14:paraId="1F4D70B3" w14:textId="77777777" w:rsidR="00F02EF9" w:rsidRPr="00F02EF9" w:rsidRDefault="00F02EF9" w:rsidP="00F02EF9">
      <w:pPr>
        <w:spacing w:after="0" w:line="360" w:lineRule="auto"/>
        <w:ind w:firstLine="709"/>
        <w:jc w:val="both"/>
        <w:rPr>
          <w:rFonts w:ascii="Times New Roman" w:hAnsi="Times New Roman" w:cs="Times New Roman"/>
          <w:sz w:val="28"/>
          <w:szCs w:val="28"/>
        </w:rPr>
      </w:pPr>
      <w:r w:rsidRPr="00F02EF9">
        <w:rPr>
          <w:rFonts w:ascii="Times New Roman" w:hAnsi="Times New Roman" w:cs="Times New Roman"/>
          <w:sz w:val="28"/>
          <w:szCs w:val="28"/>
        </w:rPr>
        <w:t xml:space="preserve">Публичное акционерное общество «Санкт-Петербургская биржа» является одной из первых торговых площадок по организации торгов ценными бумагами и фьючерсными контрактами в Российской Федерации. В ноябре 2014 года на Санкт-Петербургской бирже начались торги иностранными ценными бумагами. </w:t>
      </w:r>
    </w:p>
    <w:p w14:paraId="68E09898" w14:textId="77777777" w:rsidR="008F2A61" w:rsidRPr="002F4146" w:rsidRDefault="008F2A61" w:rsidP="00F02EF9">
      <w:pPr>
        <w:spacing w:after="0" w:line="360" w:lineRule="auto"/>
        <w:ind w:firstLine="709"/>
        <w:jc w:val="both"/>
        <w:rPr>
          <w:rFonts w:ascii="Times New Roman" w:hAnsi="Times New Roman" w:cs="Times New Roman"/>
          <w:sz w:val="28"/>
          <w:szCs w:val="28"/>
        </w:rPr>
      </w:pPr>
    </w:p>
    <w:sectPr w:rsidR="008F2A61" w:rsidRPr="002F41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855B4"/>
    <w:multiLevelType w:val="multilevel"/>
    <w:tmpl w:val="4E58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FB105B"/>
    <w:multiLevelType w:val="hybridMultilevel"/>
    <w:tmpl w:val="264CA83A"/>
    <w:lvl w:ilvl="0" w:tplc="1062BB4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4D"/>
    <w:rsid w:val="002F4146"/>
    <w:rsid w:val="004C2429"/>
    <w:rsid w:val="0085534D"/>
    <w:rsid w:val="008A5CBE"/>
    <w:rsid w:val="008F2A61"/>
    <w:rsid w:val="00992769"/>
    <w:rsid w:val="00A72841"/>
    <w:rsid w:val="00A72D00"/>
    <w:rsid w:val="00AB65B5"/>
    <w:rsid w:val="00AD1083"/>
    <w:rsid w:val="00B33C3B"/>
    <w:rsid w:val="00F02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8E038"/>
  <w15:chartTrackingRefBased/>
  <w15:docId w15:val="{8D52B1FD-19C7-401F-BD68-910592B5D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02EF9"/>
    <w:rPr>
      <w:color w:val="0563C1" w:themeColor="hyperlink"/>
      <w:u w:val="single"/>
    </w:rPr>
  </w:style>
  <w:style w:type="character" w:styleId="a5">
    <w:name w:val="Unresolved Mention"/>
    <w:basedOn w:val="a0"/>
    <w:uiPriority w:val="99"/>
    <w:semiHidden/>
    <w:unhideWhenUsed/>
    <w:rsid w:val="00F02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cban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sd.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91053/6e9ac4827da9ed4b7ea8196420223674fad4c0df/" TargetMode="External"/><Relationship Id="rId11" Type="http://schemas.openxmlformats.org/officeDocument/2006/relationships/hyperlink" Target="https://www.moex.com/s953" TargetMode="External"/><Relationship Id="rId5" Type="http://schemas.openxmlformats.org/officeDocument/2006/relationships/hyperlink" Target="http://www.consultant.ru/document/cons_doc_LAW_177289/" TargetMode="External"/><Relationship Id="rId10" Type="http://schemas.openxmlformats.org/officeDocument/2006/relationships/hyperlink" Target="https://www.moex.com/PreciousMetals/" TargetMode="External"/><Relationship Id="rId4" Type="http://schemas.openxmlformats.org/officeDocument/2006/relationships/webSettings" Target="webSettings.xml"/><Relationship Id="rId9" Type="http://schemas.openxmlformats.org/officeDocument/2006/relationships/hyperlink" Target="https://www.moex.com/ru/issue.aspx?code=MOEX&amp;shares=MOE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5287</Words>
  <Characters>30137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Nickolay Uglitskikh</dc:creator>
  <cp:keywords/>
  <dc:description/>
  <cp:lastModifiedBy>Nickolay Uglitskikh</cp:lastModifiedBy>
  <cp:revision>2</cp:revision>
  <dcterms:created xsi:type="dcterms:W3CDTF">2021-09-10T10:21:00Z</dcterms:created>
  <dcterms:modified xsi:type="dcterms:W3CDTF">2021-09-10T10:21:00Z</dcterms:modified>
</cp:coreProperties>
</file>